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85229" w:rsidRPr="007F0216" w:rsidTr="001C0ACA">
        <w:tc>
          <w:tcPr>
            <w:tcW w:w="2700" w:type="dxa"/>
          </w:tcPr>
          <w:p w:rsidR="00F85229" w:rsidRPr="001C1752" w:rsidRDefault="00F85229" w:rsidP="0008463E">
            <w:pPr>
              <w:jc w:val="center"/>
              <w:rPr>
                <w:b/>
                <w:sz w:val="24"/>
                <w:szCs w:val="24"/>
                <w:lang w:val="nl-NL"/>
              </w:rPr>
            </w:pPr>
            <w:r w:rsidRPr="001C1752">
              <w:rPr>
                <w:b/>
                <w:sz w:val="24"/>
                <w:szCs w:val="24"/>
                <w:lang w:val="nl-NL"/>
              </w:rPr>
              <w:t>BỘ TÀI CHÍNH</w:t>
            </w:r>
          </w:p>
        </w:tc>
        <w:tc>
          <w:tcPr>
            <w:tcW w:w="479" w:type="dxa"/>
          </w:tcPr>
          <w:p w:rsidR="00F85229" w:rsidRPr="001C1752" w:rsidRDefault="00F85229" w:rsidP="0008463E">
            <w:pPr>
              <w:jc w:val="center"/>
              <w:rPr>
                <w:sz w:val="24"/>
                <w:szCs w:val="24"/>
                <w:lang w:val="nl-NL"/>
              </w:rPr>
            </w:pPr>
          </w:p>
        </w:tc>
        <w:tc>
          <w:tcPr>
            <w:tcW w:w="6181" w:type="dxa"/>
          </w:tcPr>
          <w:p w:rsidR="00F85229" w:rsidRPr="001C1752" w:rsidRDefault="00F85229" w:rsidP="0008463E">
            <w:pPr>
              <w:jc w:val="center"/>
              <w:rPr>
                <w:b/>
                <w:sz w:val="24"/>
                <w:szCs w:val="24"/>
                <w:lang w:val="nl-NL"/>
              </w:rPr>
            </w:pPr>
            <w:r w:rsidRPr="001C1752">
              <w:rPr>
                <w:b/>
                <w:sz w:val="24"/>
                <w:szCs w:val="24"/>
                <w:lang w:val="nl-NL"/>
              </w:rPr>
              <w:t>CỘNG HOÀ XÃ HỘI CHỦ NGHĨA VIỆT NAM</w:t>
            </w:r>
          </w:p>
        </w:tc>
      </w:tr>
      <w:tr w:rsidR="00F85229" w:rsidRPr="001C1752" w:rsidTr="001C0ACA">
        <w:tc>
          <w:tcPr>
            <w:tcW w:w="2700" w:type="dxa"/>
          </w:tcPr>
          <w:p w:rsidR="00F85229" w:rsidRPr="001C1752" w:rsidRDefault="00F85229" w:rsidP="0008463E">
            <w:pPr>
              <w:jc w:val="center"/>
              <w:rPr>
                <w:b/>
                <w:bCs/>
                <w:sz w:val="24"/>
                <w:szCs w:val="24"/>
                <w:lang w:val="nl-NL"/>
              </w:rPr>
            </w:pPr>
            <w:r w:rsidRPr="001C1752">
              <w:rPr>
                <w:b/>
                <w:bCs/>
                <w:sz w:val="24"/>
                <w:szCs w:val="24"/>
                <w:lang w:val="nl-NL"/>
              </w:rPr>
              <w:t>----------</w:t>
            </w:r>
          </w:p>
        </w:tc>
        <w:tc>
          <w:tcPr>
            <w:tcW w:w="479" w:type="dxa"/>
          </w:tcPr>
          <w:p w:rsidR="00F85229" w:rsidRPr="001C1752" w:rsidRDefault="00F85229" w:rsidP="0008463E">
            <w:pPr>
              <w:jc w:val="center"/>
              <w:rPr>
                <w:sz w:val="27"/>
                <w:szCs w:val="27"/>
                <w:lang w:val="nl-NL"/>
              </w:rPr>
            </w:pPr>
          </w:p>
        </w:tc>
        <w:tc>
          <w:tcPr>
            <w:tcW w:w="6181" w:type="dxa"/>
          </w:tcPr>
          <w:p w:rsidR="00F85229" w:rsidRPr="001C1752" w:rsidRDefault="00F85229" w:rsidP="0008463E">
            <w:pPr>
              <w:jc w:val="center"/>
              <w:rPr>
                <w:b/>
                <w:lang w:val="nl-NL"/>
              </w:rPr>
            </w:pPr>
            <w:r w:rsidRPr="001C1752">
              <w:rPr>
                <w:b/>
                <w:lang w:val="nl-NL"/>
              </w:rPr>
              <w:t>Độc lập - Tự do - Hạnh phúc</w:t>
            </w:r>
          </w:p>
        </w:tc>
      </w:tr>
      <w:tr w:rsidR="00F85229" w:rsidRPr="007F0216" w:rsidTr="001C0ACA">
        <w:tc>
          <w:tcPr>
            <w:tcW w:w="2700" w:type="dxa"/>
          </w:tcPr>
          <w:p w:rsidR="00F85229" w:rsidRPr="001C1752" w:rsidRDefault="00F85229" w:rsidP="0008463E">
            <w:pPr>
              <w:pStyle w:val="Heading3"/>
              <w:rPr>
                <w:rFonts w:ascii="Times New Roman" w:hAnsi="Times New Roman"/>
                <w:b w:val="0"/>
                <w:sz w:val="26"/>
                <w:szCs w:val="26"/>
                <w:lang w:val="nl-NL"/>
              </w:rPr>
            </w:pPr>
          </w:p>
          <w:p w:rsidR="00F85229" w:rsidRPr="001C1752" w:rsidRDefault="00F85229" w:rsidP="0008463E">
            <w:pPr>
              <w:pStyle w:val="Heading3"/>
              <w:rPr>
                <w:rFonts w:ascii="Times New Roman" w:hAnsi="Times New Roman"/>
                <w:b w:val="0"/>
                <w:sz w:val="26"/>
                <w:szCs w:val="26"/>
                <w:lang w:val="nl-NL"/>
              </w:rPr>
            </w:pPr>
            <w:r w:rsidRPr="001C1752">
              <w:rPr>
                <w:rFonts w:ascii="Times New Roman" w:hAnsi="Times New Roman"/>
                <w:b w:val="0"/>
                <w:sz w:val="26"/>
                <w:szCs w:val="26"/>
                <w:lang w:val="nl-NL"/>
              </w:rPr>
              <w:t xml:space="preserve">Số: </w:t>
            </w:r>
            <w:r w:rsidR="005F080B" w:rsidRPr="001C1752">
              <w:rPr>
                <w:rFonts w:ascii="Times New Roman" w:hAnsi="Times New Roman"/>
                <w:b w:val="0"/>
                <w:sz w:val="26"/>
                <w:szCs w:val="26"/>
                <w:lang w:val="nl-NL"/>
              </w:rPr>
              <w:t xml:space="preserve">     </w:t>
            </w:r>
            <w:r w:rsidR="0006288A" w:rsidRPr="001C1752">
              <w:rPr>
                <w:rFonts w:ascii="Times New Roman" w:hAnsi="Times New Roman"/>
                <w:b w:val="0"/>
                <w:sz w:val="26"/>
                <w:szCs w:val="26"/>
                <w:lang w:val="nl-NL"/>
              </w:rPr>
              <w:t xml:space="preserve"> </w:t>
            </w:r>
            <w:r w:rsidRPr="001C1752">
              <w:rPr>
                <w:rFonts w:ascii="Times New Roman" w:hAnsi="Times New Roman"/>
                <w:b w:val="0"/>
                <w:sz w:val="26"/>
                <w:szCs w:val="26"/>
                <w:lang w:val="nl-NL"/>
              </w:rPr>
              <w:t>/</w:t>
            </w:r>
            <w:r w:rsidR="00C63F96" w:rsidRPr="001C1752">
              <w:rPr>
                <w:rFonts w:ascii="Times New Roman" w:hAnsi="Times New Roman"/>
                <w:b w:val="0"/>
                <w:sz w:val="26"/>
                <w:szCs w:val="26"/>
                <w:lang w:val="nl-NL"/>
              </w:rPr>
              <w:t>TTr-BTC</w:t>
            </w:r>
          </w:p>
        </w:tc>
        <w:tc>
          <w:tcPr>
            <w:tcW w:w="479" w:type="dxa"/>
          </w:tcPr>
          <w:p w:rsidR="00F85229" w:rsidRPr="001C1752" w:rsidRDefault="00F85229" w:rsidP="0008463E">
            <w:pPr>
              <w:jc w:val="center"/>
              <w:rPr>
                <w:sz w:val="27"/>
                <w:szCs w:val="27"/>
                <w:lang w:val="nl-NL"/>
              </w:rPr>
            </w:pPr>
          </w:p>
        </w:tc>
        <w:tc>
          <w:tcPr>
            <w:tcW w:w="6181" w:type="dxa"/>
          </w:tcPr>
          <w:p w:rsidR="00F85229" w:rsidRPr="001C1752" w:rsidRDefault="00F85229" w:rsidP="0008463E">
            <w:pPr>
              <w:jc w:val="center"/>
              <w:rPr>
                <w:b/>
                <w:bCs/>
                <w:sz w:val="24"/>
                <w:szCs w:val="24"/>
                <w:lang w:val="nl-NL"/>
              </w:rPr>
            </w:pPr>
            <w:r w:rsidRPr="001C1752">
              <w:rPr>
                <w:b/>
                <w:bCs/>
                <w:sz w:val="24"/>
                <w:szCs w:val="24"/>
                <w:lang w:val="nl-NL"/>
              </w:rPr>
              <w:t>-----------------------------------------------</w:t>
            </w:r>
          </w:p>
          <w:p w:rsidR="00F85229" w:rsidRPr="001C1752" w:rsidRDefault="00323EBB" w:rsidP="0008463E">
            <w:pPr>
              <w:jc w:val="center"/>
              <w:rPr>
                <w:b/>
                <w:bCs/>
                <w:i/>
                <w:sz w:val="27"/>
                <w:szCs w:val="27"/>
                <w:lang w:val="nl-NL"/>
              </w:rPr>
            </w:pPr>
            <w:r w:rsidRPr="001C1752">
              <w:rPr>
                <w:i/>
                <w:lang w:val="nl-NL"/>
              </w:rPr>
              <w:t xml:space="preserve">Hà Nội, ngày </w:t>
            </w:r>
            <w:r w:rsidR="005F080B" w:rsidRPr="001C1752">
              <w:rPr>
                <w:i/>
                <w:lang w:val="nl-NL"/>
              </w:rPr>
              <w:t xml:space="preserve">  </w:t>
            </w:r>
            <w:r w:rsidRPr="001C1752">
              <w:rPr>
                <w:i/>
                <w:lang w:val="nl-NL"/>
              </w:rPr>
              <w:t xml:space="preserve"> </w:t>
            </w:r>
            <w:r w:rsidR="00F85229" w:rsidRPr="001C1752">
              <w:rPr>
                <w:i/>
                <w:lang w:val="nl-NL"/>
              </w:rPr>
              <w:t>tháng</w:t>
            </w:r>
            <w:r w:rsidRPr="001C1752">
              <w:rPr>
                <w:i/>
                <w:lang w:val="nl-NL"/>
              </w:rPr>
              <w:t xml:space="preserve"> </w:t>
            </w:r>
            <w:r w:rsidR="005F080B" w:rsidRPr="001C1752">
              <w:rPr>
                <w:i/>
                <w:lang w:val="nl-NL"/>
              </w:rPr>
              <w:t xml:space="preserve">  </w:t>
            </w:r>
            <w:r w:rsidRPr="001C1752">
              <w:rPr>
                <w:i/>
                <w:lang w:val="nl-NL"/>
              </w:rPr>
              <w:t xml:space="preserve"> </w:t>
            </w:r>
            <w:r w:rsidR="00F85229" w:rsidRPr="001C1752">
              <w:rPr>
                <w:i/>
                <w:lang w:val="nl-NL"/>
              </w:rPr>
              <w:t>năm 2017</w:t>
            </w:r>
          </w:p>
        </w:tc>
      </w:tr>
    </w:tbl>
    <w:p w:rsidR="00F85229" w:rsidRPr="001C1752" w:rsidRDefault="00075094" w:rsidP="0008463E">
      <w:pPr>
        <w:tabs>
          <w:tab w:val="left" w:pos="2673"/>
        </w:tabs>
        <w:jc w:val="center"/>
        <w:rPr>
          <w:b/>
          <w:lang w:val="nl-NL"/>
        </w:rPr>
      </w:pPr>
      <w:r w:rsidRPr="00075094">
        <w:rPr>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84.8pt;margin-top:125.15pt;width:83.15pt;height:28.45pt;z-index:251658240;mso-position-horizontal-relative:page;mso-position-vertical-relative:page;mso-width-relative:margin;v-text-anchor:middle" o:allowincell="f" filled="f" strokecolor="#622423" strokeweight=".5pt">
            <v:textbox style="mso-next-textbox:#_x0000_s1026" inset="10.8pt,7.2pt,10.8pt,7.2pt">
              <w:txbxContent>
                <w:p w:rsidR="00F67CC0" w:rsidRPr="005A794E" w:rsidRDefault="00F67CC0" w:rsidP="00285350">
                  <w:pPr>
                    <w:spacing w:line="360" w:lineRule="auto"/>
                    <w:rPr>
                      <w:b/>
                      <w:i/>
                      <w:iCs/>
                    </w:rPr>
                  </w:pPr>
                  <w:r>
                    <w:rPr>
                      <w:b/>
                      <w:i/>
                      <w:iCs/>
                    </w:rPr>
                    <w:t>D</w:t>
                  </w:r>
                  <w:r w:rsidRPr="00B12175">
                    <w:rPr>
                      <w:b/>
                      <w:i/>
                      <w:iCs/>
                    </w:rPr>
                    <w:t>ự</w:t>
                  </w:r>
                  <w:r>
                    <w:rPr>
                      <w:b/>
                      <w:i/>
                      <w:iCs/>
                    </w:rPr>
                    <w:t xml:space="preserve"> thảo</w:t>
                  </w:r>
                </w:p>
              </w:txbxContent>
            </v:textbox>
            <w10:wrap type="square" anchorx="page" anchory="page"/>
          </v:shape>
        </w:pict>
      </w:r>
    </w:p>
    <w:p w:rsidR="00F85229" w:rsidRPr="001C1752" w:rsidRDefault="00F85229" w:rsidP="0008463E">
      <w:pPr>
        <w:tabs>
          <w:tab w:val="left" w:pos="2673"/>
        </w:tabs>
        <w:jc w:val="center"/>
        <w:rPr>
          <w:b/>
          <w:sz w:val="4"/>
          <w:lang w:val="nl-NL"/>
        </w:rPr>
      </w:pPr>
    </w:p>
    <w:p w:rsidR="00AF1985" w:rsidRPr="001C1752" w:rsidRDefault="00AF1985" w:rsidP="0008463E">
      <w:pPr>
        <w:tabs>
          <w:tab w:val="left" w:pos="2673"/>
        </w:tabs>
        <w:jc w:val="center"/>
        <w:rPr>
          <w:b/>
          <w:sz w:val="16"/>
          <w:szCs w:val="16"/>
          <w:lang w:val="nl-NL"/>
        </w:rPr>
      </w:pPr>
    </w:p>
    <w:p w:rsidR="0008463E" w:rsidRPr="001C1752" w:rsidRDefault="0008463E" w:rsidP="00285350">
      <w:pPr>
        <w:spacing w:before="60" w:after="60"/>
        <w:jc w:val="center"/>
        <w:rPr>
          <w:b/>
          <w:lang w:val="nl-NL"/>
        </w:rPr>
      </w:pPr>
    </w:p>
    <w:p w:rsidR="00F85229" w:rsidRPr="001C1752" w:rsidRDefault="00F85229" w:rsidP="006151BF">
      <w:pPr>
        <w:spacing w:before="60" w:after="60"/>
        <w:jc w:val="center"/>
        <w:rPr>
          <w:b/>
          <w:lang w:val="nl-NL"/>
        </w:rPr>
      </w:pPr>
      <w:r w:rsidRPr="001C1752">
        <w:rPr>
          <w:b/>
          <w:lang w:val="nl-NL"/>
        </w:rPr>
        <w:t>TỜ TRÌNH</w:t>
      </w:r>
    </w:p>
    <w:p w:rsidR="00A63E40" w:rsidRPr="001C1752" w:rsidRDefault="0006288A" w:rsidP="006151BF">
      <w:pPr>
        <w:tabs>
          <w:tab w:val="left" w:pos="2673"/>
        </w:tabs>
        <w:spacing w:before="60" w:after="60"/>
        <w:jc w:val="center"/>
        <w:rPr>
          <w:b/>
          <w:lang w:val="nl-NL"/>
        </w:rPr>
      </w:pPr>
      <w:r w:rsidRPr="001C1752">
        <w:rPr>
          <w:b/>
          <w:lang w:val="nl-NL"/>
        </w:rPr>
        <w:t>D</w:t>
      </w:r>
      <w:r w:rsidR="00F85229" w:rsidRPr="001C1752">
        <w:rPr>
          <w:b/>
          <w:lang w:val="nl-NL"/>
        </w:rPr>
        <w:t xml:space="preserve">ự án Luật </w:t>
      </w:r>
      <w:r w:rsidR="00A63E40" w:rsidRPr="001C1752">
        <w:rPr>
          <w:b/>
          <w:lang w:val="nl-NL"/>
        </w:rPr>
        <w:t xml:space="preserve">sửa đổi, bổ sung một số điều của </w:t>
      </w:r>
    </w:p>
    <w:p w:rsidR="00A63E40" w:rsidRPr="001C1752" w:rsidRDefault="00A63E40" w:rsidP="006151BF">
      <w:pPr>
        <w:tabs>
          <w:tab w:val="left" w:pos="2673"/>
        </w:tabs>
        <w:spacing w:before="60" w:after="60"/>
        <w:jc w:val="center"/>
        <w:rPr>
          <w:b/>
          <w:lang w:val="nl-NL"/>
        </w:rPr>
      </w:pPr>
      <w:r w:rsidRPr="001C1752">
        <w:rPr>
          <w:b/>
          <w:lang w:val="nl-NL"/>
        </w:rPr>
        <w:t xml:space="preserve">Luật </w:t>
      </w:r>
      <w:r w:rsidR="00F85229" w:rsidRPr="001C1752">
        <w:rPr>
          <w:b/>
          <w:lang w:val="nl-NL"/>
        </w:rPr>
        <w:t>thuế bảo vệ môi trường</w:t>
      </w:r>
      <w:r w:rsidR="00C7487F" w:rsidRPr="001C1752">
        <w:rPr>
          <w:b/>
          <w:lang w:val="nl-NL"/>
        </w:rPr>
        <w:t xml:space="preserve"> </w:t>
      </w:r>
    </w:p>
    <w:p w:rsidR="00F85229" w:rsidRPr="001C1752" w:rsidRDefault="00F85229" w:rsidP="006151BF">
      <w:pPr>
        <w:tabs>
          <w:tab w:val="left" w:pos="2673"/>
        </w:tabs>
        <w:spacing w:before="60" w:after="60"/>
        <w:jc w:val="center"/>
        <w:rPr>
          <w:rFonts w:ascii=".VnFree" w:hAnsi=".VnFree"/>
          <w:b/>
          <w:bCs/>
          <w:lang w:val="nl-NL"/>
        </w:rPr>
      </w:pPr>
      <w:r w:rsidRPr="001C1752">
        <w:rPr>
          <w:rFonts w:ascii=".VnFree" w:hAnsi=".VnFree"/>
          <w:b/>
          <w:bCs/>
          <w:lang w:val="nl-NL"/>
        </w:rPr>
        <w:t>---------------------</w:t>
      </w:r>
    </w:p>
    <w:p w:rsidR="00F85229" w:rsidRPr="001C1752" w:rsidRDefault="00F85229" w:rsidP="006151BF">
      <w:pPr>
        <w:spacing w:before="60" w:after="60"/>
        <w:jc w:val="center"/>
        <w:rPr>
          <w:lang w:val="nl-NL"/>
        </w:rPr>
      </w:pPr>
      <w:r w:rsidRPr="001C1752">
        <w:rPr>
          <w:lang w:val="nl-NL"/>
        </w:rPr>
        <w:t xml:space="preserve">Kính gửi: </w:t>
      </w:r>
      <w:r w:rsidR="00C63F96" w:rsidRPr="001C1752">
        <w:rPr>
          <w:lang w:val="nl-NL"/>
        </w:rPr>
        <w:t>Chính phủ</w:t>
      </w:r>
    </w:p>
    <w:p w:rsidR="00C92B71" w:rsidRPr="001C1752" w:rsidRDefault="00C92B71" w:rsidP="006151BF">
      <w:pPr>
        <w:spacing w:before="60" w:after="60"/>
        <w:ind w:firstLine="567"/>
        <w:jc w:val="both"/>
        <w:rPr>
          <w:lang w:val="nl-NL"/>
        </w:rPr>
      </w:pPr>
    </w:p>
    <w:p w:rsidR="0006288A" w:rsidRPr="001C1752" w:rsidRDefault="00B205B5" w:rsidP="004E00BD">
      <w:pPr>
        <w:widowControl w:val="0"/>
        <w:spacing w:before="120" w:after="120"/>
        <w:ind w:firstLine="720"/>
        <w:jc w:val="both"/>
        <w:rPr>
          <w:lang w:val="nl-NL"/>
        </w:rPr>
      </w:pPr>
      <w:r w:rsidRPr="001C1752">
        <w:rPr>
          <w:lang w:val="nl-NL"/>
        </w:rPr>
        <w:t xml:space="preserve">Thực hiện </w:t>
      </w:r>
      <w:r w:rsidR="00556694" w:rsidRPr="001C1752">
        <w:rPr>
          <w:lang w:val="nl-NL"/>
        </w:rPr>
        <w:t xml:space="preserve">quy định của Luật ban hành văn bản quy phạm pháp luật năm 2015, thực hiện </w:t>
      </w:r>
      <w:r w:rsidRPr="001C1752">
        <w:rPr>
          <w:lang w:val="nl-NL"/>
        </w:rPr>
        <w:t xml:space="preserve">Nghị quyết số .../2017/QH14 ngày ... của Quốc hội </w:t>
      </w:r>
      <w:r w:rsidR="00CA0814" w:rsidRPr="001C1752">
        <w:rPr>
          <w:lang w:val="nl-NL"/>
        </w:rPr>
        <w:t xml:space="preserve">khóa XIV về </w:t>
      </w:r>
      <w:r w:rsidRPr="001C1752">
        <w:rPr>
          <w:lang w:val="nl-NL"/>
        </w:rPr>
        <w:t xml:space="preserve">điều chỉnh chương trình xây dựng luật, pháp lệnh năm 2017 và chương trình </w:t>
      </w:r>
      <w:r w:rsidR="005C5C7B" w:rsidRPr="001C1752">
        <w:rPr>
          <w:lang w:val="nl-NL"/>
        </w:rPr>
        <w:t>xây dựng luật, pháp lệnh năm 2018</w:t>
      </w:r>
      <w:r w:rsidR="00CA0814" w:rsidRPr="001C1752">
        <w:rPr>
          <w:lang w:val="nl-NL"/>
        </w:rPr>
        <w:t>;</w:t>
      </w:r>
      <w:r w:rsidRPr="001C1752">
        <w:rPr>
          <w:lang w:val="nl-NL"/>
        </w:rPr>
        <w:t xml:space="preserve"> </w:t>
      </w:r>
      <w:r w:rsidR="0006288A" w:rsidRPr="001C1752">
        <w:rPr>
          <w:lang w:val="nl-NL"/>
        </w:rPr>
        <w:t xml:space="preserve">Bộ Tài chính kính trình Chính phủ </w:t>
      </w:r>
      <w:r w:rsidRPr="001C1752">
        <w:rPr>
          <w:lang w:val="nl-NL"/>
        </w:rPr>
        <w:t>d</w:t>
      </w:r>
      <w:r w:rsidR="0006288A" w:rsidRPr="001C1752">
        <w:rPr>
          <w:lang w:val="nl-NL"/>
        </w:rPr>
        <w:t xml:space="preserve">ự án Luật </w:t>
      </w:r>
      <w:r w:rsidR="00A63E40" w:rsidRPr="001C1752">
        <w:rPr>
          <w:lang w:val="nl-NL"/>
        </w:rPr>
        <w:t xml:space="preserve">sửa đổi, bổ sung một số điều của Luật </w:t>
      </w:r>
      <w:r w:rsidR="0006288A" w:rsidRPr="001C1752">
        <w:rPr>
          <w:lang w:val="nl-NL"/>
        </w:rPr>
        <w:t xml:space="preserve">thuế </w:t>
      </w:r>
      <w:r w:rsidR="0017222C" w:rsidRPr="001C1752">
        <w:rPr>
          <w:lang w:val="nl-NL"/>
        </w:rPr>
        <w:t>bảo vệ môi trường</w:t>
      </w:r>
      <w:r w:rsidR="00A63E40" w:rsidRPr="001C1752">
        <w:rPr>
          <w:lang w:val="nl-NL"/>
        </w:rPr>
        <w:t xml:space="preserve"> </w:t>
      </w:r>
      <w:r w:rsidR="00AE52E6" w:rsidRPr="001C1752">
        <w:rPr>
          <w:lang w:val="nl-NL"/>
        </w:rPr>
        <w:t xml:space="preserve">(sau đây gọi chung là dự án Luật) </w:t>
      </w:r>
      <w:r w:rsidR="0006288A" w:rsidRPr="001C1752">
        <w:rPr>
          <w:lang w:val="nl-NL"/>
        </w:rPr>
        <w:t xml:space="preserve">như sau: </w:t>
      </w:r>
    </w:p>
    <w:p w:rsidR="00115F53" w:rsidRPr="001C1752" w:rsidRDefault="00F85229" w:rsidP="004E00BD">
      <w:pPr>
        <w:spacing w:before="120" w:after="120"/>
        <w:ind w:firstLine="720"/>
        <w:jc w:val="both"/>
        <w:rPr>
          <w:b/>
          <w:sz w:val="26"/>
          <w:szCs w:val="26"/>
          <w:lang w:val="nl-NL"/>
        </w:rPr>
      </w:pPr>
      <w:r w:rsidRPr="001C1752">
        <w:rPr>
          <w:b/>
          <w:sz w:val="26"/>
          <w:szCs w:val="26"/>
          <w:lang w:val="nl-NL"/>
        </w:rPr>
        <w:t xml:space="preserve">I. SỰ CẦN THIẾT </w:t>
      </w:r>
      <w:r w:rsidR="0006288A" w:rsidRPr="001C1752">
        <w:rPr>
          <w:b/>
          <w:sz w:val="26"/>
          <w:szCs w:val="26"/>
          <w:lang w:val="nl-NL"/>
        </w:rPr>
        <w:t>BAN HÀNH</w:t>
      </w:r>
      <w:r w:rsidRPr="001C1752">
        <w:rPr>
          <w:b/>
          <w:sz w:val="26"/>
          <w:szCs w:val="26"/>
          <w:lang w:val="nl-NL"/>
        </w:rPr>
        <w:t xml:space="preserve"> LUẬT </w:t>
      </w:r>
    </w:p>
    <w:p w:rsidR="0006288A" w:rsidRPr="001C1752" w:rsidRDefault="005D3675" w:rsidP="004E00BD">
      <w:pPr>
        <w:spacing w:before="120" w:after="120"/>
        <w:ind w:firstLine="720"/>
        <w:jc w:val="both"/>
        <w:rPr>
          <w:lang w:val="pl-PL"/>
        </w:rPr>
      </w:pPr>
      <w:r w:rsidRPr="001C1752">
        <w:rPr>
          <w:lang w:val="pl-PL"/>
        </w:rPr>
        <w:t xml:space="preserve">Luật thuế </w:t>
      </w:r>
      <w:r w:rsidR="0017222C" w:rsidRPr="001C1752">
        <w:rPr>
          <w:lang w:val="pl-PL"/>
        </w:rPr>
        <w:t>bảo vệ môi trường (</w:t>
      </w:r>
      <w:r w:rsidR="00115F53" w:rsidRPr="001C1752">
        <w:rPr>
          <w:lang w:val="pl-PL"/>
        </w:rPr>
        <w:t>BVMT</w:t>
      </w:r>
      <w:r w:rsidR="0017222C" w:rsidRPr="001C1752">
        <w:rPr>
          <w:lang w:val="pl-PL"/>
        </w:rPr>
        <w:t>)</w:t>
      </w:r>
      <w:r w:rsidRPr="001C1752">
        <w:rPr>
          <w:lang w:val="pl-PL"/>
        </w:rPr>
        <w:t xml:space="preserve"> </w:t>
      </w:r>
      <w:r w:rsidR="009A09C6" w:rsidRPr="001C1752">
        <w:rPr>
          <w:lang w:val="pl-PL"/>
        </w:rPr>
        <w:t xml:space="preserve">được Quốc hội khóa </w:t>
      </w:r>
      <w:r w:rsidR="009A09C6" w:rsidRPr="001C1752">
        <w:rPr>
          <w:iCs/>
          <w:lang w:val="de-DE"/>
        </w:rPr>
        <w:t>XII</w:t>
      </w:r>
      <w:r w:rsidR="00115F53" w:rsidRPr="001C1752">
        <w:rPr>
          <w:lang w:val="pl-PL"/>
        </w:rPr>
        <w:t xml:space="preserve">, </w:t>
      </w:r>
      <w:r w:rsidR="009A09C6" w:rsidRPr="001C1752">
        <w:rPr>
          <w:lang w:val="pl-PL"/>
        </w:rPr>
        <w:t xml:space="preserve">tại kỳ họp thứ </w:t>
      </w:r>
      <w:r w:rsidR="00C85C26" w:rsidRPr="001C1752">
        <w:rPr>
          <w:lang w:val="pl-PL"/>
        </w:rPr>
        <w:t xml:space="preserve">8 thông qua </w:t>
      </w:r>
      <w:r w:rsidR="00724C35" w:rsidRPr="001C1752">
        <w:rPr>
          <w:lang w:val="pl-PL"/>
        </w:rPr>
        <w:t xml:space="preserve">ngày 15/11/2010, </w:t>
      </w:r>
      <w:r w:rsidR="0032608F" w:rsidRPr="001C1752">
        <w:rPr>
          <w:lang w:val="pl-PL"/>
        </w:rPr>
        <w:t xml:space="preserve">có hiệu lực thi hành kể từ ngày </w:t>
      </w:r>
      <w:r w:rsidR="00C85C26" w:rsidRPr="001C1752">
        <w:rPr>
          <w:lang w:val="pl-PL"/>
        </w:rPr>
        <w:t>0</w:t>
      </w:r>
      <w:r w:rsidR="0032608F" w:rsidRPr="001C1752">
        <w:rPr>
          <w:lang w:val="pl-PL"/>
        </w:rPr>
        <w:t>1/</w:t>
      </w:r>
      <w:r w:rsidR="00C85C26" w:rsidRPr="001C1752">
        <w:rPr>
          <w:lang w:val="pl-PL"/>
        </w:rPr>
        <w:t>0</w:t>
      </w:r>
      <w:r w:rsidR="0032608F" w:rsidRPr="001C1752">
        <w:rPr>
          <w:lang w:val="pl-PL"/>
        </w:rPr>
        <w:t xml:space="preserve">1/2012. Qua 5 năm triển khai thực hiện, Luật thuế </w:t>
      </w:r>
      <w:r w:rsidR="00115F53" w:rsidRPr="001C1752">
        <w:rPr>
          <w:lang w:val="pl-PL"/>
        </w:rPr>
        <w:t>BVMT</w:t>
      </w:r>
      <w:r w:rsidR="0032608F" w:rsidRPr="001C1752">
        <w:rPr>
          <w:lang w:val="pl-PL"/>
        </w:rPr>
        <w:t xml:space="preserve"> đã </w:t>
      </w:r>
      <w:r w:rsidRPr="001C1752">
        <w:rPr>
          <w:lang w:val="pl-PL"/>
        </w:rPr>
        <w:t>đạt được những mục tiêu, yêu cầu khi ban hành, cụ thể:</w:t>
      </w:r>
    </w:p>
    <w:p w:rsidR="00F85229" w:rsidRPr="001C1752" w:rsidRDefault="00F85229" w:rsidP="004E00BD">
      <w:pPr>
        <w:spacing w:before="120" w:after="120"/>
        <w:ind w:firstLine="720"/>
        <w:jc w:val="both"/>
        <w:rPr>
          <w:b/>
          <w:lang w:val="nl-NL"/>
        </w:rPr>
      </w:pPr>
      <w:r w:rsidRPr="001C1752">
        <w:rPr>
          <w:lang w:val="pl-PL"/>
        </w:rPr>
        <w:t>- Thuế BVMT đã góp phần nâng cao trách nhiệm và nhận thức của xã hội đối với môi trường; khuyến khích sản xuất, tiêu dùng hàng hóa thân thiện với môi trường; qua đó đáp ứng yêu cầu phát triển kinh tế bền vững, khuyến khích phát triển kinh tế đi liền giảm ô nhiễm môi trường</w:t>
      </w:r>
      <w:r w:rsidR="00593ECE" w:rsidRPr="001C1752">
        <w:rPr>
          <w:lang w:val="pl-PL"/>
        </w:rPr>
        <w:t>.</w:t>
      </w:r>
    </w:p>
    <w:p w:rsidR="00F85229" w:rsidRPr="001C1752" w:rsidRDefault="00F85229" w:rsidP="004E00BD">
      <w:pPr>
        <w:pStyle w:val="BodyText3"/>
        <w:widowControl w:val="0"/>
        <w:spacing w:before="120"/>
        <w:ind w:firstLine="720"/>
        <w:jc w:val="both"/>
        <w:rPr>
          <w:bCs/>
          <w:sz w:val="28"/>
          <w:szCs w:val="28"/>
          <w:lang w:val="pt-BR"/>
        </w:rPr>
      </w:pPr>
      <w:bookmarkStart w:id="0" w:name="_Toc468025311"/>
      <w:r w:rsidRPr="001C1752">
        <w:rPr>
          <w:bCs/>
          <w:sz w:val="28"/>
          <w:szCs w:val="28"/>
          <w:lang w:val="pt-BR"/>
        </w:rPr>
        <w:t>- Thực hiện cam kết của Chính phủ Việt Nam với cộng đồng quốc tế về BVMT</w:t>
      </w:r>
      <w:bookmarkEnd w:id="0"/>
      <w:r w:rsidR="00BB28C6" w:rsidRPr="001C1752">
        <w:rPr>
          <w:bCs/>
          <w:sz w:val="28"/>
          <w:szCs w:val="28"/>
          <w:lang w:val="pt-BR"/>
        </w:rPr>
        <w:t>.</w:t>
      </w:r>
      <w:r w:rsidR="0051418C" w:rsidRPr="001C1752">
        <w:rPr>
          <w:bCs/>
          <w:sz w:val="28"/>
          <w:szCs w:val="28"/>
          <w:lang w:val="pt-BR"/>
        </w:rPr>
        <w:t xml:space="preserve"> </w:t>
      </w:r>
    </w:p>
    <w:p w:rsidR="00462B6C" w:rsidRPr="001C1752" w:rsidRDefault="00F85229" w:rsidP="004E00BD">
      <w:pPr>
        <w:spacing w:before="120" w:after="120"/>
        <w:ind w:firstLine="720"/>
        <w:jc w:val="both"/>
        <w:rPr>
          <w:rFonts w:eastAsia="Arial"/>
          <w:lang w:val="pt-BR"/>
        </w:rPr>
      </w:pPr>
      <w:bookmarkStart w:id="1" w:name="_Toc468025312"/>
      <w:r w:rsidRPr="001C1752">
        <w:rPr>
          <w:lang w:val="pt-BR"/>
        </w:rPr>
        <w:t xml:space="preserve">- </w:t>
      </w:r>
      <w:r w:rsidRPr="001C1752">
        <w:rPr>
          <w:lang w:val="am-ET" w:eastAsia="vi-VN"/>
        </w:rPr>
        <w:t>Đ</w:t>
      </w:r>
      <w:r w:rsidRPr="001C1752">
        <w:rPr>
          <w:rFonts w:eastAsia="Arial"/>
          <w:lang w:val="pt-BR"/>
        </w:rPr>
        <w:t>ộng viên hợp lý đóng góp của xã hội, tạo thêm nguồn thu để giải quyết vấn đề môi trường</w:t>
      </w:r>
      <w:bookmarkEnd w:id="1"/>
      <w:r w:rsidR="00593ECE" w:rsidRPr="001C1752">
        <w:rPr>
          <w:rFonts w:eastAsia="Arial"/>
          <w:lang w:val="pt-BR"/>
        </w:rPr>
        <w:t>.</w:t>
      </w:r>
      <w:r w:rsidR="007576A6" w:rsidRPr="001C1752">
        <w:rPr>
          <w:rFonts w:eastAsia="Arial"/>
          <w:lang w:val="pt-BR"/>
        </w:rPr>
        <w:t xml:space="preserve"> </w:t>
      </w:r>
    </w:p>
    <w:p w:rsidR="003A3BBC" w:rsidRPr="001C1752" w:rsidRDefault="00F85229" w:rsidP="004E00BD">
      <w:pPr>
        <w:spacing w:before="120" w:after="120"/>
        <w:ind w:firstLine="720"/>
        <w:jc w:val="both"/>
        <w:rPr>
          <w:bCs/>
          <w:lang w:val="pt-BR"/>
        </w:rPr>
      </w:pPr>
      <w:r w:rsidRPr="001C1752">
        <w:rPr>
          <w:bCs/>
          <w:lang w:val="pt-BR"/>
        </w:rPr>
        <w:t>Số thu từ thuế BVMT liên tục tăng ổn định qua các năm từ năm 2012 đến năm 2016 (</w:t>
      </w:r>
      <w:r w:rsidR="002D6FEF" w:rsidRPr="001C1752">
        <w:rPr>
          <w:bCs/>
          <w:lang w:val="pt-BR"/>
        </w:rPr>
        <w:t xml:space="preserve">tổng thu thuế BVMT giai đoạn 2012-2016 là </w:t>
      </w:r>
      <w:r w:rsidR="00FB0D9B" w:rsidRPr="001C1752">
        <w:rPr>
          <w:bCs/>
          <w:lang w:val="pt-BR"/>
        </w:rPr>
        <w:t>105.985</w:t>
      </w:r>
      <w:r w:rsidR="002D6FEF" w:rsidRPr="001C1752">
        <w:rPr>
          <w:bCs/>
          <w:lang w:val="pt-BR"/>
        </w:rPr>
        <w:t xml:space="preserve"> tỷ đồng, trong đó </w:t>
      </w:r>
      <w:r w:rsidR="00204F09" w:rsidRPr="001C1752">
        <w:rPr>
          <w:bCs/>
          <w:lang w:val="pt-BR"/>
        </w:rPr>
        <w:t>năm 2012 là 11.1</w:t>
      </w:r>
      <w:r w:rsidR="0081050E" w:rsidRPr="001C1752">
        <w:rPr>
          <w:bCs/>
          <w:lang w:val="pt-BR"/>
        </w:rPr>
        <w:t xml:space="preserve">60 tỷ đồng; năm 2013 là 11.512 </w:t>
      </w:r>
      <w:r w:rsidR="00204F09" w:rsidRPr="001C1752">
        <w:rPr>
          <w:bCs/>
          <w:lang w:val="pt-BR"/>
        </w:rPr>
        <w:t>tỷ đồng; năm 2014 là 11.970 tỷ đồng;</w:t>
      </w:r>
      <w:r w:rsidRPr="001C1752">
        <w:rPr>
          <w:bCs/>
          <w:lang w:val="pt-BR"/>
        </w:rPr>
        <w:t xml:space="preserve"> năm 2015 là 27.020 tỷ đồng</w:t>
      </w:r>
      <w:r w:rsidR="00204F09" w:rsidRPr="001C1752">
        <w:rPr>
          <w:rStyle w:val="FootnoteReference"/>
          <w:bCs/>
          <w:lang w:val="pt-BR"/>
        </w:rPr>
        <w:footnoteReference w:id="2"/>
      </w:r>
      <w:r w:rsidR="00204F09" w:rsidRPr="001C1752">
        <w:rPr>
          <w:bCs/>
          <w:lang w:val="pt-BR"/>
        </w:rPr>
        <w:t xml:space="preserve">; </w:t>
      </w:r>
      <w:r w:rsidRPr="001C1752">
        <w:rPr>
          <w:bCs/>
          <w:lang w:val="pt-BR"/>
        </w:rPr>
        <w:t xml:space="preserve">năm 2016 khoảng </w:t>
      </w:r>
      <w:r w:rsidR="008C1C36" w:rsidRPr="001C1752">
        <w:rPr>
          <w:bCs/>
          <w:lang w:val="pt-BR" w:eastAsia="vi-VN"/>
        </w:rPr>
        <w:t>44.32</w:t>
      </w:r>
      <w:r w:rsidR="00BE1119" w:rsidRPr="001C1752">
        <w:rPr>
          <w:bCs/>
          <w:lang w:val="pt-BR" w:eastAsia="vi-VN"/>
        </w:rPr>
        <w:t>3</w:t>
      </w:r>
      <w:r w:rsidR="00A63E40" w:rsidRPr="001C1752">
        <w:rPr>
          <w:bCs/>
          <w:lang w:val="pt-BR" w:eastAsia="vi-VN"/>
        </w:rPr>
        <w:t xml:space="preserve"> </w:t>
      </w:r>
      <w:r w:rsidRPr="001C1752">
        <w:rPr>
          <w:bCs/>
          <w:lang w:val="pt-BR" w:eastAsia="vi-VN"/>
        </w:rPr>
        <w:t>tỷ đồng</w:t>
      </w:r>
      <w:r w:rsidR="00204F09" w:rsidRPr="001C1752">
        <w:rPr>
          <w:bCs/>
          <w:lang w:val="pt-BR"/>
        </w:rPr>
        <w:t xml:space="preserve">), </w:t>
      </w:r>
      <w:r w:rsidRPr="001C1752">
        <w:rPr>
          <w:bCs/>
          <w:lang w:val="pt-BR"/>
        </w:rPr>
        <w:t>chiếm tỷ trọng khoảng 1,</w:t>
      </w:r>
      <w:r w:rsidR="008C1C36" w:rsidRPr="001C1752">
        <w:rPr>
          <w:bCs/>
          <w:lang w:val="pt-BR"/>
        </w:rPr>
        <w:t>36</w:t>
      </w:r>
      <w:r w:rsidRPr="001C1752">
        <w:rPr>
          <w:bCs/>
          <w:lang w:val="pt-BR"/>
        </w:rPr>
        <w:t xml:space="preserve">% - </w:t>
      </w:r>
      <w:r w:rsidR="008C1C36" w:rsidRPr="001C1752">
        <w:rPr>
          <w:bCs/>
          <w:lang w:val="pt-BR"/>
        </w:rPr>
        <w:t>4,27</w:t>
      </w:r>
      <w:r w:rsidRPr="001C1752">
        <w:rPr>
          <w:bCs/>
          <w:lang w:val="pt-BR"/>
        </w:rPr>
        <w:t xml:space="preserve">% tổng thu </w:t>
      </w:r>
      <w:r w:rsidR="00C66C6F" w:rsidRPr="001C1752">
        <w:rPr>
          <w:bCs/>
          <w:lang w:val="pt-BR"/>
        </w:rPr>
        <w:t>ngân sách nhà nước (</w:t>
      </w:r>
      <w:r w:rsidR="00F11D49" w:rsidRPr="001C1752">
        <w:rPr>
          <w:bCs/>
          <w:lang w:val="pt-BR"/>
        </w:rPr>
        <w:t>NSNN</w:t>
      </w:r>
      <w:r w:rsidR="00C66C6F" w:rsidRPr="001C1752">
        <w:rPr>
          <w:bCs/>
          <w:lang w:val="pt-BR"/>
        </w:rPr>
        <w:t>)</w:t>
      </w:r>
      <w:r w:rsidRPr="001C1752">
        <w:rPr>
          <w:bCs/>
          <w:lang w:val="pt-BR"/>
        </w:rPr>
        <w:t xml:space="preserve"> và khoảng 0,3</w:t>
      </w:r>
      <w:r w:rsidR="008C1C36" w:rsidRPr="001C1752">
        <w:rPr>
          <w:bCs/>
          <w:lang w:val="pt-BR"/>
        </w:rPr>
        <w:t>4</w:t>
      </w:r>
      <w:r w:rsidRPr="001C1752">
        <w:rPr>
          <w:bCs/>
          <w:lang w:val="pt-BR"/>
        </w:rPr>
        <w:t>% - 0,9</w:t>
      </w:r>
      <w:r w:rsidR="008C1C36" w:rsidRPr="001C1752">
        <w:rPr>
          <w:bCs/>
          <w:lang w:val="pt-BR"/>
        </w:rPr>
        <w:t>7</w:t>
      </w:r>
      <w:r w:rsidRPr="001C1752">
        <w:rPr>
          <w:bCs/>
          <w:lang w:val="pt-BR"/>
        </w:rPr>
        <w:t xml:space="preserve">% trên </w:t>
      </w:r>
      <w:r w:rsidR="00F420F3" w:rsidRPr="001C1752">
        <w:rPr>
          <w:bCs/>
          <w:lang w:val="pt-BR"/>
        </w:rPr>
        <w:t>tổng sản phẩm trong nước (</w:t>
      </w:r>
      <w:r w:rsidRPr="001C1752">
        <w:rPr>
          <w:bCs/>
          <w:lang w:val="pt-BR"/>
        </w:rPr>
        <w:t>GDP</w:t>
      </w:r>
      <w:r w:rsidR="00F420F3" w:rsidRPr="001C1752">
        <w:rPr>
          <w:bCs/>
          <w:lang w:val="pt-BR"/>
        </w:rPr>
        <w:t>)</w:t>
      </w:r>
      <w:r w:rsidR="00462B6C" w:rsidRPr="001C1752">
        <w:rPr>
          <w:bCs/>
          <w:lang w:val="pt-BR"/>
        </w:rPr>
        <w:t xml:space="preserve"> hàng năm.</w:t>
      </w:r>
    </w:p>
    <w:p w:rsidR="005C74EA" w:rsidRPr="00305161" w:rsidRDefault="005C74EA" w:rsidP="004E00BD">
      <w:pPr>
        <w:pStyle w:val="I"/>
        <w:tabs>
          <w:tab w:val="clear" w:pos="567"/>
          <w:tab w:val="left" w:pos="0"/>
        </w:tabs>
        <w:spacing w:before="120" w:line="240" w:lineRule="auto"/>
        <w:ind w:firstLine="720"/>
        <w:jc w:val="both"/>
        <w:rPr>
          <w:rFonts w:ascii="Times New Roman" w:hAnsi="Times New Roman"/>
          <w:b w:val="0"/>
          <w:snapToGrid w:val="0"/>
          <w:sz w:val="28"/>
          <w:szCs w:val="28"/>
        </w:rPr>
      </w:pPr>
      <w:r w:rsidRPr="00305161">
        <w:rPr>
          <w:rFonts w:ascii="Times New Roman" w:hAnsi="Times New Roman"/>
          <w:b w:val="0"/>
          <w:snapToGrid w:val="0"/>
          <w:sz w:val="28"/>
          <w:szCs w:val="28"/>
        </w:rPr>
        <w:lastRenderedPageBreak/>
        <w:t>Khoản thu từ thuế BVMT không phải là khoản thu mang tính đối giá và hoàn trả trực tiếp, không quy định sử dụng cho các nhiệm vụ chi cụ thể mà được sử dụng để bố trí, đảm bảo an ninh quốc phòng, trật tự an toàn xã hội, điều chỉnh các hoạt động sản xuất, kinh doanh, quản lý và hoạt động định hướng phát triển kinh tế - xã hội, hỗ trợ thực hiện các chính sách xã hội, thực hiện chính sách cải cách tiền lương theo quy định,...</w:t>
      </w:r>
    </w:p>
    <w:p w:rsidR="005C74EA" w:rsidRPr="00305161" w:rsidRDefault="005C74EA" w:rsidP="004E00BD">
      <w:pPr>
        <w:pStyle w:val="I"/>
        <w:tabs>
          <w:tab w:val="clear" w:pos="567"/>
          <w:tab w:val="left" w:pos="0"/>
        </w:tabs>
        <w:spacing w:before="120" w:line="240" w:lineRule="auto"/>
        <w:ind w:firstLine="720"/>
        <w:jc w:val="both"/>
        <w:rPr>
          <w:rFonts w:ascii="Times New Roman" w:hAnsi="Times New Roman"/>
          <w:b w:val="0"/>
          <w:snapToGrid w:val="0"/>
          <w:sz w:val="28"/>
          <w:szCs w:val="28"/>
        </w:rPr>
      </w:pPr>
      <w:r w:rsidRPr="00305161">
        <w:rPr>
          <w:rFonts w:ascii="Times New Roman" w:hAnsi="Times New Roman"/>
          <w:b w:val="0"/>
          <w:snapToGrid w:val="0"/>
          <w:sz w:val="28"/>
          <w:szCs w:val="28"/>
        </w:rPr>
        <w:t>Luật NSNN năm 2015 quy định các khoản thu từ thuế, phí, lệ phí và các khoản thu khác theo quy định của pháp luật được tổng hợp đầy đủ vào cân đối NSNN, theo nguyên tắc không gắn với nhiệm vụ chi cụ thể. Do đó, kinh phí NSNN bố trí cho các nhiệm vụ BVMT có thể bằng hoặc thấp hơn so với số thu thuế BVMT.</w:t>
      </w:r>
    </w:p>
    <w:p w:rsidR="00E83151" w:rsidRPr="009F250D" w:rsidRDefault="00E83151" w:rsidP="004E00BD">
      <w:pPr>
        <w:spacing w:before="120" w:after="120"/>
        <w:ind w:firstLine="720"/>
        <w:jc w:val="both"/>
        <w:rPr>
          <w:rFonts w:asciiTheme="majorHAnsi" w:hAnsiTheme="majorHAnsi" w:cstheme="majorHAnsi"/>
          <w:lang w:val="nl-NL"/>
        </w:rPr>
      </w:pPr>
      <w:r w:rsidRPr="009F250D">
        <w:rPr>
          <w:rFonts w:asciiTheme="majorHAnsi" w:hAnsiTheme="majorHAnsi" w:cstheme="majorHAnsi"/>
          <w:lang w:val="nl-NL"/>
        </w:rPr>
        <w:t>Tổng số chi NSNN cho các nhiệm vụ BVMT giai đoạn 2012 - 2016 là khoảng 131.857 tỷ đồng. Trong đó:</w:t>
      </w:r>
    </w:p>
    <w:p w:rsidR="00E83151" w:rsidRPr="009F250D" w:rsidRDefault="00E83151" w:rsidP="004E00BD">
      <w:pPr>
        <w:spacing w:before="120" w:after="120"/>
        <w:ind w:firstLine="720"/>
        <w:jc w:val="both"/>
        <w:rPr>
          <w:rFonts w:asciiTheme="majorHAnsi" w:hAnsiTheme="majorHAnsi" w:cstheme="majorHAnsi"/>
          <w:i/>
          <w:lang w:val="nl-NL"/>
        </w:rPr>
      </w:pPr>
      <w:r w:rsidRPr="009F250D">
        <w:rPr>
          <w:rFonts w:asciiTheme="majorHAnsi" w:hAnsiTheme="majorHAnsi" w:cstheme="majorHAnsi"/>
          <w:lang w:val="nl-NL"/>
        </w:rPr>
        <w:t xml:space="preserve">- Tổng số chi thường xuyên cho BVMT là khoảng </w:t>
      </w:r>
      <w:r w:rsidRPr="009F250D">
        <w:rPr>
          <w:rFonts w:asciiTheme="majorHAnsi" w:hAnsiTheme="majorHAnsi" w:cstheme="majorHAnsi"/>
          <w:i/>
          <w:lang w:val="nl-NL"/>
        </w:rPr>
        <w:t>89.131</w:t>
      </w:r>
      <w:r w:rsidRPr="009F250D">
        <w:rPr>
          <w:rFonts w:asciiTheme="majorHAnsi" w:hAnsiTheme="majorHAnsi" w:cstheme="majorHAnsi"/>
          <w:lang w:val="nl-NL"/>
        </w:rPr>
        <w:t xml:space="preserve"> tỷ đồng, </w:t>
      </w:r>
      <w:r w:rsidRPr="009F250D">
        <w:rPr>
          <w:rFonts w:asciiTheme="majorHAnsi" w:hAnsiTheme="majorHAnsi" w:cstheme="majorHAnsi"/>
          <w:i/>
          <w:lang w:val="nl-NL"/>
        </w:rPr>
        <w:t>bao gồm</w:t>
      </w:r>
      <w:r w:rsidR="007F0216">
        <w:rPr>
          <w:rFonts w:asciiTheme="majorHAnsi" w:hAnsiTheme="majorHAnsi" w:cstheme="majorHAnsi"/>
          <w:i/>
          <w:lang w:val="nl-NL"/>
        </w:rPr>
        <w:t>: Chi thường xuyên từ NSNN (ng</w:t>
      </w:r>
      <w:r w:rsidR="007F0216" w:rsidRPr="007F0216">
        <w:rPr>
          <w:rFonts w:asciiTheme="majorHAnsi" w:hAnsiTheme="majorHAnsi" w:cstheme="majorHAnsi"/>
          <w:i/>
          <w:lang w:val="nl-NL"/>
        </w:rPr>
        <w:t>â</w:t>
      </w:r>
      <w:r w:rsidR="007F0216">
        <w:rPr>
          <w:rFonts w:asciiTheme="majorHAnsi" w:hAnsiTheme="majorHAnsi" w:cstheme="majorHAnsi"/>
          <w:i/>
          <w:lang w:val="nl-NL"/>
        </w:rPr>
        <w:t>n s</w:t>
      </w:r>
      <w:r w:rsidR="007F0216" w:rsidRPr="007F0216">
        <w:rPr>
          <w:rFonts w:asciiTheme="majorHAnsi" w:hAnsiTheme="majorHAnsi" w:cstheme="majorHAnsi"/>
          <w:i/>
          <w:lang w:val="nl-NL"/>
        </w:rPr>
        <w:t>ách</w:t>
      </w:r>
      <w:r w:rsidR="007F0216">
        <w:rPr>
          <w:rFonts w:asciiTheme="majorHAnsi" w:hAnsiTheme="majorHAnsi" w:cstheme="majorHAnsi"/>
          <w:i/>
          <w:lang w:val="nl-NL"/>
        </w:rPr>
        <w:t xml:space="preserve"> trung </w:t>
      </w:r>
      <w:r w:rsidR="007F0216" w:rsidRPr="007F0216">
        <w:rPr>
          <w:rFonts w:asciiTheme="majorHAnsi" w:hAnsiTheme="majorHAnsi" w:cstheme="majorHAnsi"/>
          <w:i/>
          <w:lang w:val="nl-NL"/>
        </w:rPr>
        <w:t>ươ</w:t>
      </w:r>
      <w:r w:rsidR="007F0216">
        <w:rPr>
          <w:rFonts w:asciiTheme="majorHAnsi" w:hAnsiTheme="majorHAnsi" w:cstheme="majorHAnsi"/>
          <w:i/>
          <w:lang w:val="nl-NL"/>
        </w:rPr>
        <w:t>ng</w:t>
      </w:r>
      <w:r w:rsidRPr="009F250D">
        <w:rPr>
          <w:rFonts w:asciiTheme="majorHAnsi" w:hAnsiTheme="majorHAnsi" w:cstheme="majorHAnsi"/>
          <w:i/>
          <w:lang w:val="nl-NL"/>
        </w:rPr>
        <w:t xml:space="preserve"> và </w:t>
      </w:r>
      <w:r w:rsidR="007F0216">
        <w:rPr>
          <w:rFonts w:asciiTheme="majorHAnsi" w:hAnsiTheme="majorHAnsi" w:cstheme="majorHAnsi"/>
          <w:i/>
          <w:lang w:val="nl-NL"/>
        </w:rPr>
        <w:t>ng</w:t>
      </w:r>
      <w:r w:rsidR="007F0216" w:rsidRPr="007F0216">
        <w:rPr>
          <w:rFonts w:asciiTheme="majorHAnsi" w:hAnsiTheme="majorHAnsi" w:cstheme="majorHAnsi"/>
          <w:i/>
          <w:lang w:val="nl-NL"/>
        </w:rPr>
        <w:t>â</w:t>
      </w:r>
      <w:r w:rsidR="007F0216">
        <w:rPr>
          <w:rFonts w:asciiTheme="majorHAnsi" w:hAnsiTheme="majorHAnsi" w:cstheme="majorHAnsi"/>
          <w:i/>
          <w:lang w:val="nl-NL"/>
        </w:rPr>
        <w:t>n s</w:t>
      </w:r>
      <w:r w:rsidR="007F0216" w:rsidRPr="007F0216">
        <w:rPr>
          <w:rFonts w:asciiTheme="majorHAnsi" w:hAnsiTheme="majorHAnsi" w:cstheme="majorHAnsi"/>
          <w:i/>
          <w:lang w:val="nl-NL"/>
        </w:rPr>
        <w:t>ách</w:t>
      </w:r>
      <w:r w:rsidR="007F0216">
        <w:rPr>
          <w:rFonts w:asciiTheme="majorHAnsi" w:hAnsiTheme="majorHAnsi" w:cstheme="majorHAnsi"/>
          <w:i/>
          <w:lang w:val="nl-NL"/>
        </w:rPr>
        <w:t xml:space="preserve"> </w:t>
      </w:r>
      <w:r w:rsidR="007F0216" w:rsidRPr="007F0216">
        <w:rPr>
          <w:rFonts w:asciiTheme="majorHAnsi" w:hAnsiTheme="majorHAnsi" w:cstheme="majorHAnsi"/>
          <w:i/>
          <w:lang w:val="nl-NL"/>
        </w:rPr>
        <w:t>địa</w:t>
      </w:r>
      <w:r w:rsidR="007F0216">
        <w:rPr>
          <w:rFonts w:asciiTheme="majorHAnsi" w:hAnsiTheme="majorHAnsi" w:cstheme="majorHAnsi"/>
          <w:i/>
          <w:lang w:val="nl-NL"/>
        </w:rPr>
        <w:t xml:space="preserve"> ph</w:t>
      </w:r>
      <w:r w:rsidR="007F0216" w:rsidRPr="007F0216">
        <w:rPr>
          <w:rFonts w:asciiTheme="majorHAnsi" w:hAnsiTheme="majorHAnsi" w:cstheme="majorHAnsi"/>
          <w:i/>
          <w:lang w:val="nl-NL"/>
        </w:rPr>
        <w:t>ươ</w:t>
      </w:r>
      <w:r w:rsidR="007F0216">
        <w:rPr>
          <w:rFonts w:asciiTheme="majorHAnsi" w:hAnsiTheme="majorHAnsi" w:cstheme="majorHAnsi"/>
          <w:i/>
          <w:lang w:val="nl-NL"/>
        </w:rPr>
        <w:t>ng</w:t>
      </w:r>
      <w:r w:rsidRPr="009F250D">
        <w:rPr>
          <w:rFonts w:asciiTheme="majorHAnsi" w:hAnsiTheme="majorHAnsi" w:cstheme="majorHAnsi"/>
          <w:i/>
          <w:lang w:val="nl-NL"/>
        </w:rPr>
        <w:t xml:space="preserve">) bố trí trực tiếp cho sự nghiệp BVMT (không quá 1% </w:t>
      </w:r>
      <w:r w:rsidRPr="009F250D">
        <w:rPr>
          <w:i/>
          <w:lang w:val="nl-NL"/>
        </w:rPr>
        <w:t>tổng chi NSNN</w:t>
      </w:r>
      <w:r w:rsidRPr="009F250D">
        <w:rPr>
          <w:rFonts w:asciiTheme="majorHAnsi" w:hAnsiTheme="majorHAnsi" w:cstheme="majorHAnsi"/>
          <w:i/>
          <w:lang w:val="nl-NL"/>
        </w:rPr>
        <w:t xml:space="preserve">) là khoảng 52.420 tỷ đồng; Chi các hoạt động kinh tế của </w:t>
      </w:r>
      <w:r w:rsidR="007F0216">
        <w:rPr>
          <w:rFonts w:asciiTheme="majorHAnsi" w:hAnsiTheme="majorHAnsi" w:cstheme="majorHAnsi"/>
          <w:i/>
          <w:lang w:val="nl-NL"/>
        </w:rPr>
        <w:t>ng</w:t>
      </w:r>
      <w:r w:rsidR="007F0216" w:rsidRPr="007F0216">
        <w:rPr>
          <w:rFonts w:asciiTheme="majorHAnsi" w:hAnsiTheme="majorHAnsi" w:cstheme="majorHAnsi"/>
          <w:i/>
          <w:lang w:val="nl-NL"/>
        </w:rPr>
        <w:t>â</w:t>
      </w:r>
      <w:r w:rsidR="007F0216">
        <w:rPr>
          <w:rFonts w:asciiTheme="majorHAnsi" w:hAnsiTheme="majorHAnsi" w:cstheme="majorHAnsi"/>
          <w:i/>
          <w:lang w:val="nl-NL"/>
        </w:rPr>
        <w:t>n s</w:t>
      </w:r>
      <w:r w:rsidR="007F0216" w:rsidRPr="007F0216">
        <w:rPr>
          <w:rFonts w:asciiTheme="majorHAnsi" w:hAnsiTheme="majorHAnsi" w:cstheme="majorHAnsi"/>
          <w:i/>
          <w:lang w:val="nl-NL"/>
        </w:rPr>
        <w:t>ách</w:t>
      </w:r>
      <w:r w:rsidR="007F0216">
        <w:rPr>
          <w:rFonts w:asciiTheme="majorHAnsi" w:hAnsiTheme="majorHAnsi" w:cstheme="majorHAnsi"/>
          <w:i/>
          <w:lang w:val="nl-NL"/>
        </w:rPr>
        <w:t xml:space="preserve"> trung </w:t>
      </w:r>
      <w:r w:rsidR="007F0216" w:rsidRPr="007F0216">
        <w:rPr>
          <w:rFonts w:asciiTheme="majorHAnsi" w:hAnsiTheme="majorHAnsi" w:cstheme="majorHAnsi"/>
          <w:i/>
          <w:lang w:val="nl-NL"/>
        </w:rPr>
        <w:t>ươ</w:t>
      </w:r>
      <w:r w:rsidR="007F0216">
        <w:rPr>
          <w:rFonts w:asciiTheme="majorHAnsi" w:hAnsiTheme="majorHAnsi" w:cstheme="majorHAnsi"/>
          <w:i/>
          <w:lang w:val="nl-NL"/>
        </w:rPr>
        <w:t>ng</w:t>
      </w:r>
      <w:r w:rsidRPr="009F250D">
        <w:rPr>
          <w:rFonts w:asciiTheme="majorHAnsi" w:hAnsiTheme="majorHAnsi" w:cstheme="majorHAnsi"/>
          <w:i/>
          <w:lang w:val="nl-NL"/>
        </w:rPr>
        <w:t xml:space="preserve"> </w:t>
      </w:r>
      <w:r w:rsidR="0002498D" w:rsidRPr="009F250D">
        <w:rPr>
          <w:rFonts w:asciiTheme="majorHAnsi" w:hAnsiTheme="majorHAnsi" w:cstheme="majorHAnsi"/>
          <w:i/>
          <w:lang w:val="nl-NL"/>
        </w:rPr>
        <w:t>(</w:t>
      </w:r>
      <w:r w:rsidR="0002498D" w:rsidRPr="009F250D">
        <w:rPr>
          <w:rFonts w:eastAsia="Calibri"/>
          <w:i/>
          <w:lang w:val="nl-NL"/>
        </w:rPr>
        <w:t xml:space="preserve">gồm chi thực hiện các dự án điều tra, đánh giá về đất đai, địa chất khoáng sản, tài nguyên nước, biển và hải đảo,… bố trí trong dự toán chi </w:t>
      </w:r>
      <w:r w:rsidR="007F0216">
        <w:rPr>
          <w:rFonts w:eastAsia="Calibri"/>
          <w:i/>
          <w:lang w:val="nl-NL"/>
        </w:rPr>
        <w:t>NSNN</w:t>
      </w:r>
      <w:r w:rsidR="0002498D" w:rsidRPr="009F250D">
        <w:rPr>
          <w:rFonts w:eastAsia="Calibri"/>
          <w:i/>
          <w:lang w:val="nl-NL"/>
        </w:rPr>
        <w:t xml:space="preserve"> hàng năm của Bộ Tài nguyên và Môi trường; chi thực hiện Chương trình mục tiêu quốc gia ứng phó với biến đổi khí hậu (2012 - 2016), Chương trình mục tiêu quốc gia </w:t>
      </w:r>
      <w:r w:rsidR="007F0216">
        <w:rPr>
          <w:rFonts w:eastAsia="Calibri"/>
          <w:i/>
          <w:lang w:val="nl-NL"/>
        </w:rPr>
        <w:t>s</w:t>
      </w:r>
      <w:r w:rsidR="0002498D" w:rsidRPr="009F250D">
        <w:rPr>
          <w:rFonts w:eastAsia="Calibri"/>
          <w:i/>
          <w:lang w:val="nl-NL"/>
        </w:rPr>
        <w:t>ử dụng năng lượng tiết kiệm và hiệu quả (2012 - 2016), Chương trình mục tiêu phát triển lâm nghiệp bền vững (2016); chi thực hiện các chính sách quản lý sử dụng đất trồng lúa, phát triển rừng, quản lý khai thác gỗ rừng tự nhiên, hỗ trợ khai thác, nuôi trồng hải sản, duy tu đê điều, khuyến nông, công ích thủy nông</w:t>
      </w:r>
      <w:r w:rsidR="0002498D" w:rsidRPr="009F250D">
        <w:rPr>
          <w:rFonts w:asciiTheme="majorHAnsi" w:hAnsiTheme="majorHAnsi" w:cstheme="majorHAnsi"/>
          <w:i/>
          <w:lang w:val="nl-NL"/>
        </w:rPr>
        <w:t xml:space="preserve">) </w:t>
      </w:r>
      <w:r w:rsidRPr="009F250D">
        <w:rPr>
          <w:rFonts w:asciiTheme="majorHAnsi" w:hAnsiTheme="majorHAnsi" w:cstheme="majorHAnsi"/>
          <w:i/>
          <w:lang w:val="nl-NL"/>
        </w:rPr>
        <w:t>là khoảng 36.711 tỷ đồng.</w:t>
      </w:r>
    </w:p>
    <w:p w:rsidR="00E83151" w:rsidRPr="009F250D" w:rsidRDefault="00E83151" w:rsidP="004E00BD">
      <w:pPr>
        <w:spacing w:before="120" w:after="120"/>
        <w:ind w:firstLine="720"/>
        <w:jc w:val="both"/>
        <w:rPr>
          <w:rFonts w:asciiTheme="majorHAnsi" w:hAnsiTheme="majorHAnsi" w:cstheme="majorHAnsi"/>
          <w:lang w:val="nl-NL"/>
        </w:rPr>
      </w:pPr>
      <w:r w:rsidRPr="009F250D">
        <w:rPr>
          <w:rFonts w:asciiTheme="majorHAnsi" w:hAnsiTheme="majorHAnsi" w:cstheme="majorHAnsi"/>
          <w:lang w:val="nl-NL"/>
        </w:rPr>
        <w:t xml:space="preserve">- Tổng số chi đầu tư phát triển của NSTW </w:t>
      </w:r>
      <w:r w:rsidR="0002498D" w:rsidRPr="009F250D">
        <w:rPr>
          <w:rFonts w:eastAsia="Calibri"/>
          <w:lang w:val="nl-NL"/>
        </w:rPr>
        <w:t xml:space="preserve">(chi cho các chương trình, dự án theo ngành, lĩnh vực quản lý tập trung ở 02 ngành: </w:t>
      </w:r>
      <w:r w:rsidR="00D15FF0">
        <w:rPr>
          <w:rFonts w:eastAsia="Calibri"/>
          <w:lang w:val="nl-NL"/>
        </w:rPr>
        <w:t>ng</w:t>
      </w:r>
      <w:r w:rsidR="00D15FF0" w:rsidRPr="00D15FF0">
        <w:rPr>
          <w:rFonts w:eastAsia="Calibri"/>
          <w:lang w:val="nl-NL"/>
        </w:rPr>
        <w:t>à</w:t>
      </w:r>
      <w:r w:rsidR="00D15FF0">
        <w:rPr>
          <w:rFonts w:eastAsia="Calibri"/>
          <w:lang w:val="nl-NL"/>
        </w:rPr>
        <w:t>nh t</w:t>
      </w:r>
      <w:r w:rsidR="0002498D" w:rsidRPr="009F250D">
        <w:rPr>
          <w:rFonts w:eastAsia="Calibri"/>
          <w:lang w:val="nl-NL"/>
        </w:rPr>
        <w:t>ài nguyên và môi trường và ngành cấp nước và xử lý rác thải, nước thải và chi lồng ghép từ nhiề</w:t>
      </w:r>
      <w:r w:rsidR="00D15FF0">
        <w:rPr>
          <w:rFonts w:eastAsia="Calibri"/>
          <w:lang w:val="nl-NL"/>
        </w:rPr>
        <w:t>u chương trình nh</w:t>
      </w:r>
      <w:r w:rsidR="00D15FF0" w:rsidRPr="00D15FF0">
        <w:rPr>
          <w:rFonts w:eastAsia="Calibri"/>
          <w:lang w:val="nl-NL"/>
        </w:rPr>
        <w:t>ư</w:t>
      </w:r>
      <w:r w:rsidR="00D15FF0">
        <w:rPr>
          <w:rFonts w:eastAsia="Calibri"/>
          <w:lang w:val="nl-NL"/>
        </w:rPr>
        <w:t xml:space="preserve"> </w:t>
      </w:r>
      <w:r w:rsidR="0002498D" w:rsidRPr="009F250D">
        <w:rPr>
          <w:rFonts w:eastAsia="Calibri"/>
          <w:lang w:val="nl-NL"/>
        </w:rPr>
        <w:t xml:space="preserve">Chương trình nước sạch và vệ sinh nông thôn, Chương trình khắc phục ô nhiễm và cải thiện môi trường, Chương trình ứng phó với biến đổi khí hậu,...) </w:t>
      </w:r>
      <w:r w:rsidRPr="009F250D">
        <w:rPr>
          <w:rFonts w:asciiTheme="majorHAnsi" w:hAnsiTheme="majorHAnsi" w:cstheme="majorHAnsi"/>
          <w:lang w:val="nl-NL"/>
        </w:rPr>
        <w:t xml:space="preserve">là khoảng </w:t>
      </w:r>
      <w:r w:rsidRPr="009F250D">
        <w:rPr>
          <w:rFonts w:asciiTheme="majorHAnsi" w:hAnsiTheme="majorHAnsi" w:cstheme="majorHAnsi"/>
          <w:i/>
          <w:lang w:val="nl-NL"/>
        </w:rPr>
        <w:t>24.246</w:t>
      </w:r>
      <w:r w:rsidRPr="009F250D">
        <w:rPr>
          <w:rFonts w:asciiTheme="majorHAnsi" w:hAnsiTheme="majorHAnsi" w:cstheme="majorHAnsi"/>
          <w:lang w:val="nl-NL"/>
        </w:rPr>
        <w:t xml:space="preserve"> tỷ đồng.</w:t>
      </w:r>
    </w:p>
    <w:p w:rsidR="00E83151" w:rsidRPr="009F250D" w:rsidRDefault="00E83151" w:rsidP="004E00BD">
      <w:pPr>
        <w:spacing w:before="120" w:after="120"/>
        <w:ind w:firstLine="720"/>
        <w:jc w:val="both"/>
        <w:rPr>
          <w:rFonts w:asciiTheme="majorHAnsi" w:eastAsia="Calibri" w:hAnsiTheme="majorHAnsi" w:cstheme="majorHAnsi"/>
          <w:lang w:val="nl-NL"/>
        </w:rPr>
      </w:pPr>
      <w:r w:rsidRPr="009F250D">
        <w:rPr>
          <w:lang w:val="nl-NL"/>
        </w:rPr>
        <w:t xml:space="preserve">- Tổng số chi từ </w:t>
      </w:r>
      <w:r w:rsidRPr="009F250D">
        <w:rPr>
          <w:rFonts w:asciiTheme="majorHAnsi" w:eastAsia="Calibri" w:hAnsiTheme="majorHAnsi" w:cstheme="majorHAnsi"/>
          <w:lang w:val="nl-NL"/>
        </w:rPr>
        <w:t xml:space="preserve">dự phòng </w:t>
      </w:r>
      <w:r w:rsidRPr="009F250D">
        <w:rPr>
          <w:rFonts w:asciiTheme="majorHAnsi" w:hAnsiTheme="majorHAnsi" w:cstheme="majorHAnsi"/>
          <w:lang w:val="nl-NL"/>
        </w:rPr>
        <w:t>NSTW</w:t>
      </w:r>
      <w:r w:rsidRPr="009F250D">
        <w:rPr>
          <w:rFonts w:asciiTheme="majorHAnsi" w:eastAsia="Calibri" w:hAnsiTheme="majorHAnsi" w:cstheme="majorHAnsi"/>
          <w:lang w:val="nl-NL"/>
        </w:rPr>
        <w:t xml:space="preserve"> để phòng, chống, khắc phục hậu quả thiên tai, hỗ trợ các địa phương xử lý các nhiệm vụ đột xuất, cấp bách trong năm như đê kè, hồ chứa,... </w:t>
      </w:r>
      <w:r w:rsidRPr="009F250D">
        <w:rPr>
          <w:rFonts w:asciiTheme="majorHAnsi" w:hAnsiTheme="majorHAnsi" w:cstheme="majorHAnsi"/>
          <w:lang w:val="nl-NL"/>
        </w:rPr>
        <w:t xml:space="preserve">là </w:t>
      </w:r>
      <w:r w:rsidRPr="009F250D">
        <w:rPr>
          <w:rFonts w:asciiTheme="majorHAnsi" w:eastAsia="Calibri" w:hAnsiTheme="majorHAnsi" w:cstheme="majorHAnsi"/>
          <w:lang w:val="nl-NL"/>
        </w:rPr>
        <w:t xml:space="preserve">khoảng </w:t>
      </w:r>
      <w:r w:rsidRPr="009F250D">
        <w:rPr>
          <w:rFonts w:asciiTheme="majorHAnsi" w:eastAsia="Calibri" w:hAnsiTheme="majorHAnsi" w:cstheme="majorHAnsi"/>
          <w:i/>
          <w:lang w:val="nl-NL"/>
        </w:rPr>
        <w:t>18.480</w:t>
      </w:r>
      <w:r w:rsidRPr="009F250D">
        <w:rPr>
          <w:rFonts w:asciiTheme="majorHAnsi" w:eastAsia="Calibri" w:hAnsiTheme="majorHAnsi" w:cstheme="majorHAnsi"/>
          <w:lang w:val="nl-NL"/>
        </w:rPr>
        <w:t xml:space="preserve"> tỷ đồng.</w:t>
      </w:r>
    </w:p>
    <w:p w:rsidR="00E83151" w:rsidRPr="009F250D" w:rsidRDefault="00E83151" w:rsidP="004E00BD">
      <w:pPr>
        <w:spacing w:before="120" w:after="120"/>
        <w:ind w:firstLine="720"/>
        <w:jc w:val="both"/>
        <w:rPr>
          <w:rFonts w:asciiTheme="majorHAnsi" w:hAnsiTheme="majorHAnsi" w:cstheme="majorHAnsi"/>
          <w:lang w:val="nl-NL"/>
        </w:rPr>
      </w:pPr>
      <w:r w:rsidRPr="009F250D">
        <w:rPr>
          <w:rFonts w:asciiTheme="majorHAnsi" w:hAnsiTheme="majorHAnsi" w:cstheme="majorHAnsi"/>
          <w:lang w:val="nl-NL"/>
        </w:rPr>
        <w:t>Như vậy, t</w:t>
      </w:r>
      <w:r w:rsidRPr="009F250D">
        <w:rPr>
          <w:rFonts w:asciiTheme="majorHAnsi" w:eastAsia="Calibri" w:hAnsiTheme="majorHAnsi" w:cstheme="majorHAnsi"/>
          <w:lang w:val="nl-NL"/>
        </w:rPr>
        <w:t xml:space="preserve">rong giai đoạn 2012 - 2016, chi </w:t>
      </w:r>
      <w:r w:rsidR="00D15FF0">
        <w:rPr>
          <w:rFonts w:asciiTheme="majorHAnsi" w:eastAsia="Calibri" w:hAnsiTheme="majorHAnsi" w:cstheme="majorHAnsi"/>
          <w:lang w:val="nl-NL"/>
        </w:rPr>
        <w:t>NSNN</w:t>
      </w:r>
      <w:r w:rsidRPr="009F250D">
        <w:rPr>
          <w:rFonts w:asciiTheme="majorHAnsi" w:eastAsia="Calibri" w:hAnsiTheme="majorHAnsi" w:cstheme="majorHAnsi"/>
          <w:lang w:val="nl-NL"/>
        </w:rPr>
        <w:t xml:space="preserve"> cho nhiệm vụ</w:t>
      </w:r>
      <w:r w:rsidRPr="009F250D">
        <w:rPr>
          <w:rFonts w:asciiTheme="majorHAnsi" w:hAnsiTheme="majorHAnsi" w:cstheme="majorHAnsi"/>
          <w:lang w:val="nl-NL"/>
        </w:rPr>
        <w:t xml:space="preserve"> BVMT </w:t>
      </w:r>
      <w:r w:rsidR="00103CA6" w:rsidRPr="009F250D">
        <w:rPr>
          <w:rFonts w:asciiTheme="majorHAnsi" w:hAnsiTheme="majorHAnsi" w:cstheme="majorHAnsi"/>
          <w:lang w:val="nl-NL"/>
        </w:rPr>
        <w:t>(bao gồm</w:t>
      </w:r>
      <w:r w:rsidR="00561642" w:rsidRPr="009F250D">
        <w:rPr>
          <w:rFonts w:asciiTheme="majorHAnsi" w:hAnsiTheme="majorHAnsi" w:cstheme="majorHAnsi"/>
          <w:lang w:val="nl-NL"/>
        </w:rPr>
        <w:t xml:space="preserve"> cả các khoản vay, viện trợ đã đưa</w:t>
      </w:r>
      <w:r w:rsidR="00103CA6" w:rsidRPr="009F250D">
        <w:rPr>
          <w:rFonts w:asciiTheme="majorHAnsi" w:hAnsiTheme="majorHAnsi" w:cstheme="majorHAnsi"/>
          <w:lang w:val="nl-NL"/>
        </w:rPr>
        <w:t xml:space="preserve"> vào NSNN để chi thường xuyên cho BVMT hoặc chi đầu tư phát triển BVMT; chưa tính chi các hoạt động kinh tế</w:t>
      </w:r>
      <w:r w:rsidR="00732901">
        <w:rPr>
          <w:rFonts w:asciiTheme="majorHAnsi" w:hAnsiTheme="majorHAnsi" w:cstheme="majorHAnsi"/>
          <w:lang w:val="nl-NL"/>
        </w:rPr>
        <w:t xml:space="preserve">, chi đầu tư phát triển, chi </w:t>
      </w:r>
      <w:r w:rsidR="00D15FF0">
        <w:rPr>
          <w:rFonts w:asciiTheme="majorHAnsi" w:hAnsiTheme="majorHAnsi" w:cstheme="majorHAnsi"/>
          <w:lang w:val="nl-NL"/>
        </w:rPr>
        <w:t>dự phòng của ng</w:t>
      </w:r>
      <w:r w:rsidR="00D15FF0" w:rsidRPr="00D15FF0">
        <w:rPr>
          <w:rFonts w:asciiTheme="majorHAnsi" w:hAnsiTheme="majorHAnsi" w:cstheme="majorHAnsi"/>
          <w:lang w:val="nl-NL"/>
        </w:rPr>
        <w:t>â</w:t>
      </w:r>
      <w:r w:rsidR="00D15FF0">
        <w:rPr>
          <w:rFonts w:asciiTheme="majorHAnsi" w:hAnsiTheme="majorHAnsi" w:cstheme="majorHAnsi"/>
          <w:lang w:val="nl-NL"/>
        </w:rPr>
        <w:t>n s</w:t>
      </w:r>
      <w:r w:rsidR="00D15FF0" w:rsidRPr="00D15FF0">
        <w:rPr>
          <w:rFonts w:asciiTheme="majorHAnsi" w:hAnsiTheme="majorHAnsi" w:cstheme="majorHAnsi"/>
          <w:lang w:val="nl-NL"/>
        </w:rPr>
        <w:t>ách</w:t>
      </w:r>
      <w:r w:rsidR="00D15FF0">
        <w:rPr>
          <w:rFonts w:asciiTheme="majorHAnsi" w:hAnsiTheme="majorHAnsi" w:cstheme="majorHAnsi"/>
          <w:lang w:val="nl-NL"/>
        </w:rPr>
        <w:t xml:space="preserve"> </w:t>
      </w:r>
      <w:r w:rsidR="00D15FF0" w:rsidRPr="00D15FF0">
        <w:rPr>
          <w:rFonts w:asciiTheme="majorHAnsi" w:hAnsiTheme="majorHAnsi" w:cstheme="majorHAnsi"/>
          <w:lang w:val="nl-NL"/>
        </w:rPr>
        <w:t>địa</w:t>
      </w:r>
      <w:r w:rsidR="00D15FF0">
        <w:rPr>
          <w:rFonts w:asciiTheme="majorHAnsi" w:hAnsiTheme="majorHAnsi" w:cstheme="majorHAnsi"/>
          <w:lang w:val="nl-NL"/>
        </w:rPr>
        <w:t xml:space="preserve"> ph</w:t>
      </w:r>
      <w:r w:rsidR="00D15FF0" w:rsidRPr="00D15FF0">
        <w:rPr>
          <w:rFonts w:asciiTheme="majorHAnsi" w:hAnsiTheme="majorHAnsi" w:cstheme="majorHAnsi"/>
          <w:lang w:val="nl-NL"/>
        </w:rPr>
        <w:t>ươ</w:t>
      </w:r>
      <w:r w:rsidR="00D15FF0">
        <w:rPr>
          <w:rFonts w:asciiTheme="majorHAnsi" w:hAnsiTheme="majorHAnsi" w:cstheme="majorHAnsi"/>
          <w:lang w:val="nl-NL"/>
        </w:rPr>
        <w:t>ng</w:t>
      </w:r>
      <w:r w:rsidR="00103CA6" w:rsidRPr="009F250D">
        <w:rPr>
          <w:rFonts w:asciiTheme="majorHAnsi" w:hAnsiTheme="majorHAnsi" w:cstheme="majorHAnsi"/>
          <w:lang w:val="nl-NL"/>
        </w:rPr>
        <w:t xml:space="preserve"> cho các nhiệm vụ BVMT và các khoản vay, việ</w:t>
      </w:r>
      <w:r w:rsidR="00AC6844" w:rsidRPr="009F250D">
        <w:rPr>
          <w:rFonts w:asciiTheme="majorHAnsi" w:hAnsiTheme="majorHAnsi" w:cstheme="majorHAnsi"/>
          <w:lang w:val="nl-NL"/>
        </w:rPr>
        <w:t>n</w:t>
      </w:r>
      <w:r w:rsidR="00103CA6" w:rsidRPr="009F250D">
        <w:rPr>
          <w:rFonts w:asciiTheme="majorHAnsi" w:hAnsiTheme="majorHAnsi" w:cstheme="majorHAnsi"/>
          <w:lang w:val="nl-NL"/>
        </w:rPr>
        <w:t xml:space="preserve"> trợ chi trực tiếp cho dự án về BVMT không </w:t>
      </w:r>
      <w:r w:rsidR="00561642" w:rsidRPr="009F250D">
        <w:rPr>
          <w:rFonts w:asciiTheme="majorHAnsi" w:hAnsiTheme="majorHAnsi" w:cstheme="majorHAnsi"/>
          <w:lang w:val="nl-NL"/>
        </w:rPr>
        <w:t>đưa</w:t>
      </w:r>
      <w:r w:rsidR="00103CA6" w:rsidRPr="009F250D">
        <w:rPr>
          <w:rFonts w:asciiTheme="majorHAnsi" w:hAnsiTheme="majorHAnsi" w:cstheme="majorHAnsi"/>
          <w:lang w:val="nl-NL"/>
        </w:rPr>
        <w:t xml:space="preserve"> vào NSNN) </w:t>
      </w:r>
      <w:r w:rsidRPr="009F250D">
        <w:rPr>
          <w:rFonts w:asciiTheme="majorHAnsi" w:eastAsia="Calibri" w:hAnsiTheme="majorHAnsi" w:cstheme="majorHAnsi"/>
          <w:lang w:val="nl-NL"/>
        </w:rPr>
        <w:t xml:space="preserve">bình quân </w:t>
      </w:r>
      <w:r w:rsidRPr="009F250D">
        <w:rPr>
          <w:rFonts w:asciiTheme="majorHAnsi" w:hAnsiTheme="majorHAnsi" w:cstheme="majorHAnsi"/>
          <w:lang w:val="nl-NL"/>
        </w:rPr>
        <w:t xml:space="preserve">là </w:t>
      </w:r>
      <w:r w:rsidRPr="009F250D">
        <w:rPr>
          <w:rFonts w:asciiTheme="majorHAnsi" w:eastAsia="Calibri" w:hAnsiTheme="majorHAnsi" w:cstheme="majorHAnsi"/>
          <w:lang w:val="nl-NL"/>
        </w:rPr>
        <w:t xml:space="preserve">khoảng </w:t>
      </w:r>
      <w:r w:rsidRPr="00617130">
        <w:rPr>
          <w:rFonts w:asciiTheme="majorHAnsi" w:eastAsia="Calibri" w:hAnsiTheme="majorHAnsi" w:cstheme="majorHAnsi"/>
          <w:lang w:val="nl-NL"/>
        </w:rPr>
        <w:t>26.371</w:t>
      </w:r>
      <w:r w:rsidRPr="009F250D">
        <w:rPr>
          <w:rFonts w:asciiTheme="majorHAnsi" w:eastAsia="Calibri" w:hAnsiTheme="majorHAnsi" w:cstheme="majorHAnsi"/>
          <w:lang w:val="nl-NL"/>
        </w:rPr>
        <w:t xml:space="preserve"> tỷ đồng/năm</w:t>
      </w:r>
      <w:r w:rsidR="004C7BB4">
        <w:rPr>
          <w:rFonts w:asciiTheme="majorHAnsi" w:hAnsiTheme="majorHAnsi" w:cstheme="majorHAnsi"/>
          <w:lang w:val="nl-NL"/>
        </w:rPr>
        <w:t xml:space="preserve">, </w:t>
      </w:r>
      <w:r w:rsidRPr="009F250D">
        <w:rPr>
          <w:rFonts w:asciiTheme="majorHAnsi" w:eastAsia="Calibri" w:hAnsiTheme="majorHAnsi" w:cstheme="majorHAnsi"/>
          <w:lang w:val="nl-NL"/>
        </w:rPr>
        <w:t xml:space="preserve">cao hơn số thu thuế </w:t>
      </w:r>
      <w:r w:rsidRPr="009F250D">
        <w:rPr>
          <w:rFonts w:asciiTheme="majorHAnsi" w:hAnsiTheme="majorHAnsi" w:cstheme="majorHAnsi"/>
          <w:lang w:val="nl-NL"/>
        </w:rPr>
        <w:t>BVMT</w:t>
      </w:r>
      <w:r w:rsidRPr="009F250D">
        <w:rPr>
          <w:rFonts w:asciiTheme="majorHAnsi" w:eastAsia="Calibri" w:hAnsiTheme="majorHAnsi" w:cstheme="majorHAnsi"/>
          <w:lang w:val="nl-NL"/>
        </w:rPr>
        <w:t xml:space="preserve"> </w:t>
      </w:r>
      <w:r w:rsidR="004C7BB4">
        <w:rPr>
          <w:rFonts w:asciiTheme="majorHAnsi" w:eastAsia="Calibri" w:hAnsiTheme="majorHAnsi" w:cstheme="majorHAnsi"/>
          <w:lang w:val="nl-NL"/>
        </w:rPr>
        <w:t>(</w:t>
      </w:r>
      <w:r w:rsidRPr="009F250D">
        <w:rPr>
          <w:rFonts w:asciiTheme="majorHAnsi" w:eastAsia="Calibri" w:hAnsiTheme="majorHAnsi" w:cstheme="majorHAnsi"/>
          <w:lang w:val="nl-NL"/>
        </w:rPr>
        <w:t xml:space="preserve">bình quân </w:t>
      </w:r>
      <w:r w:rsidRPr="009F250D">
        <w:rPr>
          <w:rFonts w:asciiTheme="majorHAnsi" w:hAnsiTheme="majorHAnsi" w:cstheme="majorHAnsi"/>
          <w:lang w:val="nl-NL"/>
        </w:rPr>
        <w:t xml:space="preserve">là khoảng </w:t>
      </w:r>
      <w:r w:rsidRPr="00617130">
        <w:rPr>
          <w:rFonts w:asciiTheme="majorHAnsi" w:eastAsia="Calibri" w:hAnsiTheme="majorHAnsi" w:cstheme="majorHAnsi"/>
          <w:lang w:val="nl-NL"/>
        </w:rPr>
        <w:t>21.</w:t>
      </w:r>
      <w:r w:rsidRPr="00617130">
        <w:rPr>
          <w:rFonts w:asciiTheme="majorHAnsi" w:hAnsiTheme="majorHAnsi" w:cstheme="majorHAnsi"/>
          <w:lang w:val="nl-NL"/>
        </w:rPr>
        <w:t>197</w:t>
      </w:r>
      <w:r w:rsidRPr="009F250D">
        <w:rPr>
          <w:rFonts w:asciiTheme="majorHAnsi" w:eastAsia="Calibri" w:hAnsiTheme="majorHAnsi" w:cstheme="majorHAnsi"/>
          <w:lang w:val="nl-NL"/>
        </w:rPr>
        <w:t xml:space="preserve"> tỷ đồng/năm)</w:t>
      </w:r>
      <w:r w:rsidRPr="009F250D">
        <w:rPr>
          <w:rFonts w:asciiTheme="majorHAnsi" w:hAnsiTheme="majorHAnsi" w:cstheme="majorHAnsi"/>
          <w:lang w:val="nl-NL"/>
        </w:rPr>
        <w:t>.</w:t>
      </w:r>
    </w:p>
    <w:p w:rsidR="00E83151" w:rsidRPr="00B876A9" w:rsidRDefault="00E83151" w:rsidP="004E00BD">
      <w:pPr>
        <w:spacing w:before="120" w:after="120"/>
        <w:ind w:firstLine="720"/>
        <w:jc w:val="both"/>
        <w:rPr>
          <w:rFonts w:asciiTheme="majorHAnsi" w:hAnsiTheme="majorHAnsi" w:cstheme="majorHAnsi"/>
          <w:lang w:val="nl-NL"/>
        </w:rPr>
      </w:pPr>
      <w:r w:rsidRPr="00305161">
        <w:rPr>
          <w:rFonts w:asciiTheme="majorHAnsi" w:eastAsia="Calibri" w:hAnsiTheme="majorHAnsi" w:cstheme="majorHAnsi"/>
          <w:lang w:val="nl-NL"/>
        </w:rPr>
        <w:lastRenderedPageBreak/>
        <w:t xml:space="preserve">Ngoài ra còn một số nội dung, nhiệm vụ do NSNN chi trả góp phần BVMT như: </w:t>
      </w:r>
      <w:r w:rsidR="00B876A9" w:rsidRPr="00305161">
        <w:rPr>
          <w:rFonts w:asciiTheme="majorHAnsi" w:eastAsia="Calibri" w:hAnsiTheme="majorHAnsi" w:cstheme="majorHAnsi"/>
          <w:lang w:val="nl-NL"/>
        </w:rPr>
        <w:t>d</w:t>
      </w:r>
      <w:r w:rsidRPr="00305161">
        <w:rPr>
          <w:rFonts w:asciiTheme="majorHAnsi" w:eastAsia="Calibri" w:hAnsiTheme="majorHAnsi" w:cstheme="majorHAnsi"/>
          <w:lang w:val="nl-NL"/>
        </w:rPr>
        <w:t>ự án Xây dựng tuyến đường sắt trên cao, các dự án, chương trình khoa học công nghệ ứng dụng công nghệ xanh, bền vững,...</w:t>
      </w:r>
    </w:p>
    <w:p w:rsidR="00F85229" w:rsidRPr="001C1752" w:rsidRDefault="00F85229" w:rsidP="004E00BD">
      <w:pPr>
        <w:spacing w:before="120" w:after="120"/>
        <w:ind w:firstLine="720"/>
        <w:jc w:val="both"/>
        <w:rPr>
          <w:lang w:val="sv-SE"/>
        </w:rPr>
      </w:pPr>
      <w:r w:rsidRPr="001C1752">
        <w:rPr>
          <w:lang w:val="sv-SE"/>
        </w:rPr>
        <w:t xml:space="preserve">Bên </w:t>
      </w:r>
      <w:r w:rsidR="00251E6D" w:rsidRPr="001C1752">
        <w:rPr>
          <w:lang w:val="sv-SE"/>
        </w:rPr>
        <w:t>cạnh những kết quả đạt được</w:t>
      </w:r>
      <w:r w:rsidRPr="001C1752">
        <w:rPr>
          <w:lang w:val="sv-SE"/>
        </w:rPr>
        <w:t>, Luật thuế BVMT cần thiế</w:t>
      </w:r>
      <w:r w:rsidR="00A63E40" w:rsidRPr="001C1752">
        <w:rPr>
          <w:lang w:val="sv-SE"/>
        </w:rPr>
        <w:t xml:space="preserve">t phải được nghiên cứu sửa đổi, bổ sung </w:t>
      </w:r>
      <w:r w:rsidRPr="001C1752">
        <w:rPr>
          <w:lang w:val="sv-SE"/>
        </w:rPr>
        <w:t xml:space="preserve">xuất phát từ những lý do cụ thể như sau: </w:t>
      </w:r>
    </w:p>
    <w:p w:rsidR="005D7272" w:rsidRPr="001C1752" w:rsidRDefault="005D7272" w:rsidP="004E00BD">
      <w:pPr>
        <w:spacing w:before="120" w:after="120"/>
        <w:ind w:firstLine="720"/>
        <w:jc w:val="both"/>
        <w:rPr>
          <w:b/>
          <w:lang w:val="nl-NL"/>
        </w:rPr>
      </w:pPr>
      <w:r w:rsidRPr="001C1752">
        <w:rPr>
          <w:b/>
          <w:lang w:val="nl-NL"/>
        </w:rPr>
        <w:t xml:space="preserve">1. Thể chế hóa quan điểm, chủ trương của Đảng và </w:t>
      </w:r>
      <w:r w:rsidR="003E3D28" w:rsidRPr="001C1752">
        <w:rPr>
          <w:b/>
          <w:lang w:val="nl-NL"/>
        </w:rPr>
        <w:t xml:space="preserve">chính sách của </w:t>
      </w:r>
      <w:r w:rsidRPr="001C1752">
        <w:rPr>
          <w:b/>
          <w:lang w:val="nl-NL"/>
        </w:rPr>
        <w:t>Nhà nước về hoàn thiện chính sách tài chính về BVMT hướng tới phát triển bền vững</w:t>
      </w:r>
    </w:p>
    <w:p w:rsidR="005D7272" w:rsidRPr="001C1752" w:rsidRDefault="005D7272" w:rsidP="004E00BD">
      <w:pPr>
        <w:spacing w:before="120" w:after="120"/>
        <w:ind w:firstLine="720"/>
        <w:jc w:val="both"/>
        <w:rPr>
          <w:lang w:val="nl-NL"/>
        </w:rPr>
      </w:pPr>
      <w:r w:rsidRPr="001C1752">
        <w:rPr>
          <w:lang w:val="nl-NL" w:eastAsia="vi-VN"/>
        </w:rPr>
        <w:t xml:space="preserve">Hiến pháp năm 2014 quy định: </w:t>
      </w:r>
      <w:r w:rsidRPr="001C1752">
        <w:rPr>
          <w:i/>
          <w:lang w:val="nl-NL" w:eastAsia="vi-VN"/>
        </w:rPr>
        <w:t>Nhà nước có chính sách bảo vệ môi trường; Nhà nước khuyến khích mọi hoạt động bảo vệ môi trường, phát triển, sử dụng năng lượng mới, năng lượng tái tạo; Tổ chức, cá nhân gây ô nhiêm môi trư</w:t>
      </w:r>
      <w:r w:rsidR="007C3914" w:rsidRPr="001C1752">
        <w:rPr>
          <w:i/>
          <w:lang w:val="nl-NL" w:eastAsia="vi-VN"/>
        </w:rPr>
        <w:t xml:space="preserve">ờng </w:t>
      </w:r>
      <w:r w:rsidRPr="001C1752">
        <w:rPr>
          <w:i/>
          <w:lang w:val="nl-NL" w:eastAsia="vi-VN"/>
        </w:rPr>
        <w:t>phải bị xử lý nghiêm và có trách nhiệm khắc phục, bồi thường thiệt hại.</w:t>
      </w:r>
    </w:p>
    <w:p w:rsidR="005D7272" w:rsidRPr="001C1752" w:rsidRDefault="005D7272" w:rsidP="004E00BD">
      <w:pPr>
        <w:spacing w:before="120" w:after="120"/>
        <w:ind w:firstLine="720"/>
        <w:jc w:val="both"/>
        <w:rPr>
          <w:lang w:val="nl-NL" w:eastAsia="vi-VN"/>
        </w:rPr>
      </w:pPr>
      <w:r w:rsidRPr="001C1752">
        <w:rPr>
          <w:lang w:val="am-ET" w:eastAsia="vi-VN"/>
        </w:rPr>
        <w:t xml:space="preserve">Nghị quyết số 24-NQ/TW ngày 3/6/2013 Hội nghị Trung ương 7 khóa XI về chủ động ứng phó với biến đổi khí hậu, tăng cường quản lý tài nguyên và </w:t>
      </w:r>
      <w:r w:rsidRPr="001C1752">
        <w:rPr>
          <w:lang w:val="nl-NL" w:eastAsia="vi-VN"/>
        </w:rPr>
        <w:t>BVMT</w:t>
      </w:r>
      <w:r w:rsidR="00453589" w:rsidRPr="001C1752">
        <w:rPr>
          <w:lang w:val="nl-NL" w:eastAsia="vi-VN"/>
        </w:rPr>
        <w:t xml:space="preserve"> </w:t>
      </w:r>
      <w:r w:rsidRPr="001C1752">
        <w:rPr>
          <w:lang w:val="nl-NL" w:eastAsia="vi-VN"/>
        </w:rPr>
        <w:t>nêu rõ</w:t>
      </w:r>
      <w:r w:rsidRPr="001C1752">
        <w:rPr>
          <w:lang w:val="am-ET" w:eastAsia="vi-VN"/>
        </w:rPr>
        <w:t xml:space="preserve">: </w:t>
      </w:r>
      <w:r w:rsidRPr="001C1752">
        <w:rPr>
          <w:i/>
          <w:lang w:val="am-ET" w:eastAsia="vi-VN"/>
        </w:rPr>
        <w:t>“Đổi mới, hoàn thiện cơ chế, chính sách tài chính, tăng cường và đa dạng hóa nguồn lực cho ứng phó với biến đổi khí hậu, quản lý tài nguyên và bảo vệ môi trường; Quán triệt và vận dụng có hiệu quả các nguyên tắc: người gây ô nhiễm phải trả chi phí để xử lý, khắc phục hậu quả, cải tạo và phục hồi môi trường; người được hưởng lợi từ tài nguyên, môi trường phải có nghĩa vụ đóng góp để đầu tư trở lại cho quản lý tài nguyên và bảo vệ môi trường”</w:t>
      </w:r>
      <w:r w:rsidRPr="001C1752">
        <w:rPr>
          <w:lang w:val="nl-NL" w:eastAsia="vi-VN"/>
        </w:rPr>
        <w:t>.</w:t>
      </w:r>
    </w:p>
    <w:p w:rsidR="0090339D" w:rsidRPr="001C1752" w:rsidRDefault="005D7272" w:rsidP="004E00BD">
      <w:pPr>
        <w:spacing w:before="120" w:after="120"/>
        <w:ind w:firstLine="720"/>
        <w:jc w:val="both"/>
        <w:rPr>
          <w:i/>
          <w:lang w:val="nl-NL"/>
        </w:rPr>
      </w:pPr>
      <w:r w:rsidRPr="001C1752">
        <w:rPr>
          <w:lang w:val="nl-NL"/>
        </w:rPr>
        <w:t xml:space="preserve">Chiến lược phát triển bền vững Việt Nam giai đoạn 2011-2020 (ban hành kèm theo Quyết định số 432/QĐ-TTg ngày 12/4/2012 của Thủ tướng Chính phủ) đã đưa ra giải pháp </w:t>
      </w:r>
      <w:r w:rsidRPr="001C1752">
        <w:rPr>
          <w:i/>
          <w:lang w:val="nl-NL"/>
        </w:rPr>
        <w:t>“Tiếp tục hoàn thiện hệ thống luật pháp, cơ chế, chính sách theo hướng điều chỉnh, bổ sung và ban hành mới nhằm đảm bảo khung pháp lý đầy đủ cho việc thực hiện Chiến lược Phát triển bền vững ở Việt Nam giai đoạn 2011 - 2020. Tập trung hoàn chỉnh hệ thống chính sách, pháp luật về bảo vệ môi trường,…”; “Tăng cường áp dụng các công cụ tài chính (thuế, phí, …) để tăng nguồn tài chính cho việc thực hiện các mục tiêu phát triển bền vững của quốc gia”.</w:t>
      </w:r>
    </w:p>
    <w:p w:rsidR="005D7272" w:rsidRPr="001C1752" w:rsidRDefault="005D7272" w:rsidP="004E00BD">
      <w:pPr>
        <w:spacing w:before="120" w:after="120"/>
        <w:ind w:firstLine="720"/>
        <w:jc w:val="both"/>
        <w:rPr>
          <w:b/>
          <w:lang w:val="nl-NL"/>
        </w:rPr>
      </w:pPr>
      <w:r w:rsidRPr="001C1752">
        <w:rPr>
          <w:b/>
          <w:lang w:val="nl-NL" w:eastAsia="vi-VN"/>
        </w:rPr>
        <w:t xml:space="preserve">2. Khắc phục </w:t>
      </w:r>
      <w:r w:rsidRPr="001C1752">
        <w:rPr>
          <w:b/>
          <w:lang w:val="am-ET"/>
        </w:rPr>
        <w:t xml:space="preserve">những vướng mắc của </w:t>
      </w:r>
      <w:r w:rsidRPr="001C1752">
        <w:rPr>
          <w:b/>
          <w:lang w:val="nl-NL"/>
        </w:rPr>
        <w:t xml:space="preserve">Luật thuế </w:t>
      </w:r>
      <w:r w:rsidRPr="001C1752">
        <w:rPr>
          <w:b/>
          <w:lang w:val="am-ET"/>
        </w:rPr>
        <w:t>BVMT hiện hành</w:t>
      </w:r>
      <w:r w:rsidRPr="001C1752">
        <w:rPr>
          <w:b/>
          <w:lang w:val="nl-NL"/>
        </w:rPr>
        <w:t xml:space="preserve"> </w:t>
      </w:r>
    </w:p>
    <w:p w:rsidR="005D7272" w:rsidRPr="001C1752" w:rsidRDefault="005D7272" w:rsidP="004E00BD">
      <w:pPr>
        <w:spacing w:before="120" w:after="120"/>
        <w:ind w:firstLine="709"/>
        <w:jc w:val="both"/>
        <w:rPr>
          <w:lang w:val="nl-NL"/>
        </w:rPr>
      </w:pPr>
      <w:r w:rsidRPr="001C1752">
        <w:rPr>
          <w:lang w:val="nl-NL"/>
        </w:rPr>
        <w:t xml:space="preserve">Qua tổng kết, đánh giá tình hình thực hiện chính sách thuế BVMT cho thấy chính sách thuế BVMT đã bộc lộ một số </w:t>
      </w:r>
      <w:r w:rsidRPr="001C1752">
        <w:rPr>
          <w:lang w:val="vi-VN"/>
        </w:rPr>
        <w:t>vướng mắc</w:t>
      </w:r>
      <w:r w:rsidRPr="001C1752">
        <w:rPr>
          <w:lang w:val="nl-NL"/>
        </w:rPr>
        <w:t xml:space="preserve"> cần được hoàn thiện</w:t>
      </w:r>
      <w:r w:rsidR="0090339D" w:rsidRPr="001C1752">
        <w:rPr>
          <w:lang w:val="nl-NL"/>
        </w:rPr>
        <w:t xml:space="preserve"> nhằm đảm bảo t</w:t>
      </w:r>
      <w:r w:rsidR="0090339D" w:rsidRPr="001C1752">
        <w:rPr>
          <w:spacing w:val="-2"/>
          <w:lang w:val="nl-NL"/>
        </w:rPr>
        <w:t xml:space="preserve">huế BVMT là một công cụ kinh tế quan trọng góp phần hạn chế </w:t>
      </w:r>
      <w:r w:rsidR="0099356D" w:rsidRPr="001C1752">
        <w:rPr>
          <w:spacing w:val="-2"/>
          <w:lang w:val="nl-NL"/>
        </w:rPr>
        <w:t xml:space="preserve">việc sản xuất và sử dụng các hàng hóa gây ô nhiễm môi trường, </w:t>
      </w:r>
      <w:r w:rsidR="0090339D" w:rsidRPr="001C1752">
        <w:rPr>
          <w:spacing w:val="-2"/>
          <w:lang w:val="nl-NL"/>
        </w:rPr>
        <w:t>hướng tới phát triển bền vững</w:t>
      </w:r>
      <w:r w:rsidRPr="001C1752">
        <w:rPr>
          <w:lang w:val="nl-NL"/>
        </w:rPr>
        <w:t>. Cụ thể:</w:t>
      </w:r>
    </w:p>
    <w:p w:rsidR="005D7272" w:rsidRPr="001C1752" w:rsidRDefault="005D7272" w:rsidP="004E00BD">
      <w:pPr>
        <w:spacing w:before="120" w:after="120"/>
        <w:ind w:firstLine="709"/>
        <w:jc w:val="both"/>
        <w:rPr>
          <w:lang w:val="nl-NL"/>
        </w:rPr>
      </w:pPr>
      <w:r w:rsidRPr="001C1752">
        <w:rPr>
          <w:lang w:val="nl-NL"/>
        </w:rPr>
        <w:t>- Cần thiết sửa đổi, bổ sung quy định về phạm vi điều chỉnh để đảm bảo bao quát các nội dung được quy định tại Luật.</w:t>
      </w:r>
    </w:p>
    <w:p w:rsidR="00A379D8" w:rsidRPr="001C1752" w:rsidRDefault="005D7272" w:rsidP="004E00BD">
      <w:pPr>
        <w:spacing w:before="120" w:after="120"/>
        <w:ind w:firstLine="720"/>
        <w:jc w:val="both"/>
        <w:rPr>
          <w:lang w:val="nl-NL"/>
        </w:rPr>
      </w:pPr>
      <w:r w:rsidRPr="001C1752">
        <w:rPr>
          <w:lang w:val="nl-NL"/>
        </w:rPr>
        <w:t>- Cần thiết sửa đổi, bổ sung quy định giải t</w:t>
      </w:r>
      <w:r w:rsidR="00B21E4A" w:rsidRPr="001C1752">
        <w:rPr>
          <w:lang w:val="nl-NL"/>
        </w:rPr>
        <w:t>h</w:t>
      </w:r>
      <w:r w:rsidRPr="001C1752">
        <w:rPr>
          <w:lang w:val="nl-NL"/>
        </w:rPr>
        <w:t>ích từ ngữ về túi ni lông thuộc diện chịu thuế</w:t>
      </w:r>
      <w:r w:rsidR="00A379D8" w:rsidRPr="001C1752">
        <w:rPr>
          <w:lang w:val="nl-NL"/>
        </w:rPr>
        <w:t xml:space="preserve">, dung dịch </w:t>
      </w:r>
      <w:r w:rsidR="00A379D8" w:rsidRPr="001C1752">
        <w:rPr>
          <w:lang w:val="nb-NO"/>
        </w:rPr>
        <w:t>hydro-chloro-fluoro-carbon (</w:t>
      </w:r>
      <w:r w:rsidR="00A379D8" w:rsidRPr="001C1752">
        <w:rPr>
          <w:lang w:val="nl-NL"/>
        </w:rPr>
        <w:t xml:space="preserve">HCFC) và quy định </w:t>
      </w:r>
      <w:r w:rsidR="00495250" w:rsidRPr="001C1752">
        <w:rPr>
          <w:lang w:val="nl-NL"/>
        </w:rPr>
        <w:t xml:space="preserve">về đối tượng chịu thuế đối với </w:t>
      </w:r>
      <w:r w:rsidR="00A379D8" w:rsidRPr="001C1752">
        <w:rPr>
          <w:lang w:val="nl-NL"/>
        </w:rPr>
        <w:t xml:space="preserve">dung dịch HCFC để nâng </w:t>
      </w:r>
      <w:r w:rsidR="007C3914" w:rsidRPr="001C1752">
        <w:rPr>
          <w:lang w:val="nl-NL"/>
        </w:rPr>
        <w:t xml:space="preserve">cao tính pháp lý </w:t>
      </w:r>
      <w:r w:rsidR="00A379D8" w:rsidRPr="001C1752">
        <w:rPr>
          <w:lang w:val="nl-NL"/>
        </w:rPr>
        <w:t>và bao quát các trường hợp phát sinh trong thực tế.</w:t>
      </w:r>
    </w:p>
    <w:p w:rsidR="005D7272" w:rsidRPr="001C1752" w:rsidRDefault="00E3534F" w:rsidP="004E00BD">
      <w:pPr>
        <w:spacing w:before="120" w:after="120"/>
        <w:ind w:firstLine="720"/>
        <w:jc w:val="both"/>
        <w:rPr>
          <w:lang w:val="nl-NL"/>
        </w:rPr>
      </w:pPr>
      <w:r w:rsidRPr="001C1752">
        <w:rPr>
          <w:lang w:val="nl-NL"/>
        </w:rPr>
        <w:lastRenderedPageBreak/>
        <w:t xml:space="preserve">- </w:t>
      </w:r>
      <w:r w:rsidR="005D7272" w:rsidRPr="001C1752">
        <w:rPr>
          <w:lang w:val="nl-NL"/>
        </w:rPr>
        <w:t xml:space="preserve">Cần thiết sửa đổi, bổ sung quy định về đối tượng không chịu thuế và hoàn thuế BVMT để đảm bảo tính thống nhất, </w:t>
      </w:r>
      <w:r w:rsidR="005D7272" w:rsidRPr="001C1752">
        <w:rPr>
          <w:lang w:val="sv-SE"/>
        </w:rPr>
        <w:t>phù hợp với Luật hải quan, Luật thuế xuất khẩu, thuế nhập khẩu</w:t>
      </w:r>
      <w:r w:rsidRPr="001C1752">
        <w:rPr>
          <w:lang w:val="sv-SE"/>
        </w:rPr>
        <w:t xml:space="preserve">, </w:t>
      </w:r>
      <w:r w:rsidRPr="001C1752">
        <w:rPr>
          <w:lang w:val="nl-NL"/>
        </w:rPr>
        <w:t>đồng thời đảm bảo nguyên tắc thuế BVMT chỉ thu đối với hàng hóa khi sử dụng gây tác động xấu đến môi trường tại Việt Nam.</w:t>
      </w:r>
    </w:p>
    <w:p w:rsidR="005D7272" w:rsidRPr="001C1752" w:rsidRDefault="005D7272" w:rsidP="004E00BD">
      <w:pPr>
        <w:spacing w:before="120" w:after="120"/>
        <w:ind w:firstLine="720"/>
        <w:jc w:val="both"/>
        <w:rPr>
          <w:lang w:val="sv-SE"/>
        </w:rPr>
      </w:pPr>
      <w:r w:rsidRPr="001C1752">
        <w:rPr>
          <w:lang w:val="sv-SE"/>
        </w:rPr>
        <w:t xml:space="preserve">- Cần thiết sửa đổi, bổ sung khung thuế BVMT đối với một số hàng hóa nhằm: </w:t>
      </w:r>
      <w:r w:rsidRPr="001C1752">
        <w:rPr>
          <w:lang w:val="nl-NL"/>
        </w:rPr>
        <w:t>(i) Chủ động ứng phó với diễn biến giá dầu trên thị trường thế giới, đảm bảo lợi ích quốc gia trong điều kiện hội nhập sâu khi thực hiện cắt giảm dần thuế nhập khẩu theo các cam kết quốc tế; (ii) Đảm bảo tính ổn định của Luật, trình Ủy ban thường vụ Quốc hội kịp thời điều chỉnh mức thuế cụ thể trong khung quy định mà Quốc hội đã giao cho Ủy ban thường vụ Quốc hội để đảm bảo lợi ích quốc gia trong trường hợp giá dầu thế giới có biến động lớn; (iii) Tránh chênh lệch nhiều về giá bán xăng dầu của Việt Nam với các nước có chung đường biên giới; (iv) N</w:t>
      </w:r>
      <w:r w:rsidRPr="001C1752">
        <w:rPr>
          <w:lang w:val="sv-SE"/>
        </w:rPr>
        <w:t>âng cao hơn nữa trách nhiệm và nhận thức của tổ chức, cá nhân đối với môi trường và khuyến khích sản xuất, sử dụng hàng hóa thân thiện với môi trường; (v) Đảm bảo thực hiện cam kết của Việt Nam với cộng đồng quốc tế về BVMT.</w:t>
      </w:r>
    </w:p>
    <w:p w:rsidR="00E3534F" w:rsidRPr="001C1752" w:rsidRDefault="00E3534F" w:rsidP="004E00BD">
      <w:pPr>
        <w:spacing w:before="120" w:after="120"/>
        <w:ind w:firstLine="720"/>
        <w:jc w:val="both"/>
        <w:rPr>
          <w:lang w:val="nl-NL"/>
        </w:rPr>
      </w:pPr>
      <w:r w:rsidRPr="001C1752">
        <w:rPr>
          <w:lang w:val="nl-NL"/>
        </w:rPr>
        <w:t xml:space="preserve">Đồng thời, </w:t>
      </w:r>
      <w:r w:rsidR="00A12586" w:rsidRPr="001C1752">
        <w:rPr>
          <w:lang w:val="nl-NL"/>
        </w:rPr>
        <w:t xml:space="preserve">cần thiết </w:t>
      </w:r>
      <w:r w:rsidRPr="001C1752">
        <w:rPr>
          <w:lang w:val="nl-NL"/>
        </w:rPr>
        <w:t xml:space="preserve">bổ sung quy định về mức thuế BVMT đối với </w:t>
      </w:r>
      <w:r w:rsidR="00A12586" w:rsidRPr="001C1752">
        <w:rPr>
          <w:lang w:val="nl-NL"/>
        </w:rPr>
        <w:t>xăng, dầu</w:t>
      </w:r>
      <w:r w:rsidRPr="001C1752">
        <w:rPr>
          <w:lang w:val="nl-NL"/>
        </w:rPr>
        <w:t xml:space="preserve"> sinh học </w:t>
      </w:r>
      <w:r w:rsidR="000C617E" w:rsidRPr="001C1752">
        <w:rPr>
          <w:lang w:val="nl-NL"/>
        </w:rPr>
        <w:t xml:space="preserve">(xăng E5, E10,...) </w:t>
      </w:r>
      <w:r w:rsidRPr="001C1752">
        <w:rPr>
          <w:lang w:val="nl-NL"/>
        </w:rPr>
        <w:t xml:space="preserve">để </w:t>
      </w:r>
      <w:r w:rsidR="000C617E" w:rsidRPr="001C1752">
        <w:rPr>
          <w:lang w:val="nl-NL"/>
        </w:rPr>
        <w:t xml:space="preserve">khuyến khích việc sản xuất và sử dụng </w:t>
      </w:r>
      <w:r w:rsidR="00A12586" w:rsidRPr="001C1752">
        <w:rPr>
          <w:lang w:val="nl-NL"/>
        </w:rPr>
        <w:t>xăng, dầu</w:t>
      </w:r>
      <w:r w:rsidR="000C617E" w:rsidRPr="001C1752">
        <w:rPr>
          <w:lang w:val="nl-NL"/>
        </w:rPr>
        <w:t xml:space="preserve"> sinh học, </w:t>
      </w:r>
      <w:r w:rsidRPr="001C1752">
        <w:rPr>
          <w:lang w:val="nl-NL"/>
        </w:rPr>
        <w:t>góp phần hạn chế việc sử dụng n</w:t>
      </w:r>
      <w:r w:rsidR="000C617E" w:rsidRPr="001C1752">
        <w:rPr>
          <w:lang w:val="nl-NL"/>
        </w:rPr>
        <w:t>hiên liệu hóa thạch gây ô nhiễm môi trường.</w:t>
      </w:r>
    </w:p>
    <w:p w:rsidR="005D7272" w:rsidRPr="001C1752" w:rsidRDefault="005D7272" w:rsidP="004E00BD">
      <w:pPr>
        <w:spacing w:before="120" w:after="120"/>
        <w:ind w:firstLine="720"/>
        <w:jc w:val="both"/>
        <w:rPr>
          <w:lang w:val="nl-NL"/>
        </w:rPr>
      </w:pPr>
      <w:r w:rsidRPr="001C1752">
        <w:rPr>
          <w:lang w:val="sv-SE"/>
        </w:rPr>
        <w:t>- Cần thiết sửa đổi, bổ sung quy định về thời điểm tính thuế BVMT đ</w:t>
      </w:r>
      <w:r w:rsidRPr="001C1752">
        <w:rPr>
          <w:lang w:val="nl-NL"/>
        </w:rPr>
        <w:t>ể phù hợp và tạo điều kiện thuận lợi trong triển khai Luật NSNN; thuận tiện cho doanh nghiệp khi kê khai, nộp thuế cũng như cho cơ quan quản lý thu thuế; đồng thời tránh thất thu NSNN.</w:t>
      </w:r>
    </w:p>
    <w:p w:rsidR="00F85229" w:rsidRPr="001C1752" w:rsidRDefault="005D7272" w:rsidP="004E00BD">
      <w:pPr>
        <w:spacing w:before="120" w:after="120"/>
        <w:ind w:firstLine="720"/>
        <w:jc w:val="both"/>
        <w:rPr>
          <w:b/>
          <w:lang w:val="nl-NL"/>
        </w:rPr>
      </w:pPr>
      <w:bookmarkStart w:id="2" w:name="_Toc468025341"/>
      <w:r w:rsidRPr="001C1752">
        <w:rPr>
          <w:b/>
          <w:lang w:val="nl-NL"/>
        </w:rPr>
        <w:t>3</w:t>
      </w:r>
      <w:r w:rsidR="00F85229" w:rsidRPr="001C1752">
        <w:rPr>
          <w:b/>
          <w:lang w:val="nl-NL"/>
        </w:rPr>
        <w:t xml:space="preserve">. </w:t>
      </w:r>
      <w:bookmarkEnd w:id="2"/>
      <w:r w:rsidR="00F85229" w:rsidRPr="001C1752">
        <w:rPr>
          <w:b/>
          <w:lang w:val="nl-NL"/>
        </w:rPr>
        <w:t>Thực hiện mục tiêu cải cách thuế BVMT, góp phần xây dựng hệ thống thuế đồng bộ</w:t>
      </w:r>
      <w:r w:rsidR="00F90F12" w:rsidRPr="001C1752">
        <w:rPr>
          <w:b/>
          <w:lang w:val="nl-NL"/>
        </w:rPr>
        <w:t>;</w:t>
      </w:r>
      <w:r w:rsidR="004F6C89" w:rsidRPr="001C1752">
        <w:rPr>
          <w:b/>
          <w:lang w:val="nl-NL"/>
        </w:rPr>
        <w:t xml:space="preserve"> </w:t>
      </w:r>
      <w:r w:rsidR="00D714A7" w:rsidRPr="001C1752">
        <w:rPr>
          <w:b/>
          <w:lang w:val="nl-NL"/>
        </w:rPr>
        <w:t>hoàn thiện</w:t>
      </w:r>
      <w:r w:rsidR="004B7502" w:rsidRPr="001C1752">
        <w:rPr>
          <w:b/>
          <w:lang w:val="nl-NL"/>
        </w:rPr>
        <w:t xml:space="preserve"> </w:t>
      </w:r>
      <w:r w:rsidR="00A379D8" w:rsidRPr="001C1752">
        <w:rPr>
          <w:b/>
          <w:lang w:val="nl-NL"/>
        </w:rPr>
        <w:t xml:space="preserve">thể chế, cơ chế tài chính và </w:t>
      </w:r>
      <w:r w:rsidR="00D714A7" w:rsidRPr="001C1752">
        <w:rPr>
          <w:b/>
          <w:lang w:val="nl-NL"/>
        </w:rPr>
        <w:t>cơ cấu lại ngân sách nhà nước trong giai đoạn tới</w:t>
      </w:r>
      <w:r w:rsidR="00F90F12" w:rsidRPr="001C1752">
        <w:rPr>
          <w:b/>
          <w:lang w:val="nl-NL"/>
        </w:rPr>
        <w:t xml:space="preserve">; </w:t>
      </w:r>
      <w:r w:rsidRPr="001C1752">
        <w:rPr>
          <w:b/>
          <w:lang w:val="nl-NL"/>
        </w:rPr>
        <w:t xml:space="preserve">đồng thời </w:t>
      </w:r>
      <w:r w:rsidR="0046336E" w:rsidRPr="001C1752">
        <w:rPr>
          <w:b/>
          <w:lang w:val="nl-NL"/>
        </w:rPr>
        <w:t>phù hợp với bối cảnh phát triển kinh tế - xã hội và hội nhập quốc tế ngày càng sâu, rộng</w:t>
      </w:r>
    </w:p>
    <w:p w:rsidR="00F85229" w:rsidRPr="001C1752" w:rsidRDefault="00D714A7" w:rsidP="004E00BD">
      <w:pPr>
        <w:spacing w:before="120" w:after="120"/>
        <w:ind w:firstLine="720"/>
        <w:jc w:val="both"/>
        <w:rPr>
          <w:lang w:val="am-ET" w:eastAsia="vi-VN"/>
        </w:rPr>
      </w:pPr>
      <w:r w:rsidRPr="001C1752">
        <w:rPr>
          <w:lang w:val="nl-NL" w:eastAsia="vi-VN"/>
        </w:rPr>
        <w:t xml:space="preserve">Tại </w:t>
      </w:r>
      <w:r w:rsidR="00F85229" w:rsidRPr="001C1752">
        <w:rPr>
          <w:lang w:val="am-ET" w:eastAsia="vi-VN"/>
        </w:rPr>
        <w:t xml:space="preserve">Chiến lược </w:t>
      </w:r>
      <w:r w:rsidR="00F85229" w:rsidRPr="001C1752">
        <w:rPr>
          <w:lang w:val="nl-NL" w:eastAsia="vi-VN"/>
        </w:rPr>
        <w:t>cải cách hệ thống thuế (ban hành kèm theo Quyết định số 732/QĐ-TTg ngày 17/5/2011 của Thủ tướng Chính phủ) đã đ</w:t>
      </w:r>
      <w:r w:rsidR="00E72D42" w:rsidRPr="001C1752">
        <w:rPr>
          <w:lang w:val="nl-NL" w:eastAsia="vi-VN"/>
        </w:rPr>
        <w:t>ề</w:t>
      </w:r>
      <w:r w:rsidR="00F85229" w:rsidRPr="001C1752">
        <w:rPr>
          <w:lang w:val="nl-NL" w:eastAsia="vi-VN"/>
        </w:rPr>
        <w:t xml:space="preserve"> ra</w:t>
      </w:r>
      <w:r w:rsidR="00F85229" w:rsidRPr="001C1752">
        <w:rPr>
          <w:lang w:val="am-ET" w:eastAsia="vi-VN"/>
        </w:rPr>
        <w:t xml:space="preserve"> mục tiêu </w:t>
      </w:r>
      <w:r w:rsidR="00F85229" w:rsidRPr="001C1752">
        <w:rPr>
          <w:lang w:val="nl-NL" w:eastAsia="vi-VN"/>
        </w:rPr>
        <w:t xml:space="preserve">cải cách </w:t>
      </w:r>
      <w:r w:rsidR="00F85229" w:rsidRPr="001C1752">
        <w:rPr>
          <w:lang w:val="am-ET" w:eastAsia="vi-VN"/>
        </w:rPr>
        <w:t xml:space="preserve">tổng quát </w:t>
      </w:r>
      <w:r w:rsidR="00737826" w:rsidRPr="001C1752">
        <w:rPr>
          <w:lang w:val="nl-NL" w:eastAsia="vi-VN"/>
        </w:rPr>
        <w:t xml:space="preserve">hệ thống thuế </w:t>
      </w:r>
      <w:r w:rsidR="00F85229" w:rsidRPr="001C1752">
        <w:rPr>
          <w:lang w:val="am-ET" w:eastAsia="vi-VN"/>
        </w:rPr>
        <w:t>là</w:t>
      </w:r>
      <w:r w:rsidR="00F85229" w:rsidRPr="001C1752">
        <w:rPr>
          <w:lang w:val="nl-NL" w:eastAsia="vi-VN"/>
        </w:rPr>
        <w:t xml:space="preserve">: </w:t>
      </w:r>
      <w:r w:rsidR="00F85229" w:rsidRPr="001C1752">
        <w:rPr>
          <w:i/>
          <w:lang w:val="am-ET" w:eastAsia="vi-VN"/>
        </w:rPr>
        <w:t xml:space="preserve">“Xây dựng hệ thống chính sách thuế đồng bộ, thống nhất, công bằng, hiệu quả, phù hợp với thể chế kinh tế thị trường định </w:t>
      </w:r>
      <w:r w:rsidR="001D38C3" w:rsidRPr="001C1752">
        <w:rPr>
          <w:i/>
          <w:lang w:val="am-ET" w:eastAsia="vi-VN"/>
        </w:rPr>
        <w:t>hướng xã hội chủ nghĩa;</w:t>
      </w:r>
      <w:r w:rsidR="00F85229" w:rsidRPr="001C1752">
        <w:rPr>
          <w:i/>
          <w:lang w:val="am-ET" w:eastAsia="vi-VN"/>
        </w:rPr>
        <w:t>…”</w:t>
      </w:r>
      <w:r w:rsidR="00F85229" w:rsidRPr="001C1752">
        <w:rPr>
          <w:lang w:val="am-ET" w:eastAsia="vi-VN"/>
        </w:rPr>
        <w:t xml:space="preserve">. Trong đó, nội dung tập trung cải cách của chính sách thuế BVMT là: </w:t>
      </w:r>
      <w:r w:rsidR="00F85229" w:rsidRPr="001C1752">
        <w:rPr>
          <w:i/>
          <w:lang w:val="am-ET" w:eastAsia="vi-VN"/>
        </w:rPr>
        <w:t>“… tiếp tục nghiên cứu, bổ sung đối tượng thu, điều chỉnh mức điều tiết nhằm góp phần hạn chế sử dụng những hàng hóa gây tác động xấu đến môi trường sinh thái”</w:t>
      </w:r>
      <w:r w:rsidR="00F85229" w:rsidRPr="001C1752">
        <w:rPr>
          <w:lang w:val="am-ET" w:eastAsia="vi-VN"/>
        </w:rPr>
        <w:t xml:space="preserve">. </w:t>
      </w:r>
    </w:p>
    <w:p w:rsidR="006E69DC" w:rsidRPr="001C1752" w:rsidRDefault="006E69DC" w:rsidP="004E00BD">
      <w:pPr>
        <w:spacing w:before="120" w:after="120"/>
        <w:ind w:firstLine="720"/>
        <w:jc w:val="both"/>
        <w:rPr>
          <w:i/>
          <w:lang w:val="nl-NL"/>
        </w:rPr>
      </w:pPr>
      <w:r w:rsidRPr="001C1752">
        <w:rPr>
          <w:lang w:val="nl-NL"/>
        </w:rPr>
        <w:t>Tại Nghị quyết số 25/2016/QH14 ngày 9/11/2016 của Quốc hội về kế hoạch tài chính 5 năm quốc gia giai đoạn 2016 - 2020 đã đề ra một trong các mục tiêu cần thực hiện là:</w:t>
      </w:r>
      <w:r w:rsidRPr="001C1752">
        <w:rPr>
          <w:i/>
          <w:lang w:val="nl-NL"/>
        </w:rPr>
        <w:t xml:space="preserve"> “tiếp tục hoàn thiện hệ thống thể chế và cơ chế tài chính quốc gia; huy động, phân phối, quản lý, sử dụng có hiệu quả các nguồn lực tài chính, đáp ứng yêu cầu và mục tiêu phát triển kinh tế - xã hội của đất nước; từng bước cơ cấu lại thu ngân sách nhà nước”; </w:t>
      </w:r>
      <w:r w:rsidRPr="001C1752">
        <w:rPr>
          <w:lang w:val="nl-NL"/>
        </w:rPr>
        <w:t>đồng thời đề ra một trong các giải pháp thực hiện là:</w:t>
      </w:r>
      <w:r w:rsidRPr="001C1752">
        <w:rPr>
          <w:i/>
          <w:lang w:val="nl-NL"/>
        </w:rPr>
        <w:t xml:space="preserve"> “thực hiện các giải pháp điều chỉnh chính sách thu </w:t>
      </w:r>
      <w:r w:rsidRPr="001C1752">
        <w:rPr>
          <w:i/>
          <w:lang w:val="nl-NL"/>
        </w:rPr>
        <w:lastRenderedPageBreak/>
        <w:t>theo hướng mở rộng cơ sở thuế, điều chỉnh phạm vi, đối tượng; rà soát, thu hẹp diện miễn, giảm thuế”.</w:t>
      </w:r>
    </w:p>
    <w:p w:rsidR="00374EF8" w:rsidRPr="001C1752" w:rsidRDefault="00374EF8" w:rsidP="004E00BD">
      <w:pPr>
        <w:spacing w:before="120" w:after="120"/>
        <w:ind w:firstLine="720"/>
        <w:jc w:val="both"/>
        <w:rPr>
          <w:i/>
          <w:lang w:val="nl-NL"/>
        </w:rPr>
      </w:pPr>
      <w:r w:rsidRPr="001C1752">
        <w:rPr>
          <w:lang w:val="nl-NL"/>
        </w:rPr>
        <w:t>Tại Nghị quyết số 07-NQ/TW ngày 18/11/2016 của Bộ Chính trị về chủ trương, giải pháp cơ cấu lại NSNN, quản lý nợ công để bảo đảm nền tài chính quốc gia an toàn, bền vững đã đề ra một trong các mục tiêu thực hiện là:</w:t>
      </w:r>
      <w:r w:rsidRPr="001C1752">
        <w:rPr>
          <w:i/>
          <w:lang w:val="nl-NL"/>
        </w:rPr>
        <w:t xml:space="preserve"> “cơ cấu lại ngân sách nhà nước theo hướng bảo đảm nền tài chính quốc gia an toàn, bền vững, góp phần ổn định kinh tế</w:t>
      </w:r>
      <w:r w:rsidR="006C428E" w:rsidRPr="001C1752">
        <w:rPr>
          <w:i/>
          <w:lang w:val="nl-NL"/>
        </w:rPr>
        <w:t xml:space="preserve"> vĩ mô</w:t>
      </w:r>
      <w:r w:rsidRPr="001C1752">
        <w:rPr>
          <w:i/>
          <w:lang w:val="nl-NL"/>
        </w:rPr>
        <w:t xml:space="preserve">”; </w:t>
      </w:r>
      <w:r w:rsidRPr="001C1752">
        <w:rPr>
          <w:lang w:val="nl-NL"/>
        </w:rPr>
        <w:t>đồng thời đề ra một trong các giải pháp thực hiện là</w:t>
      </w:r>
      <w:r w:rsidRPr="001C1752">
        <w:rPr>
          <w:i/>
          <w:lang w:val="nl-NL"/>
        </w:rPr>
        <w:t>: “tập trung cơ cấu lại nguồn thu; hoàn thiện chính sách thu gắn với cơ cấu lại thu ngân sách nhà nước theo hướng bao quát toàn bộ các nguồn thu, mở rộng cơ sở thu, nhất là các nguồn thu mới, phù hợp với thông lệ quốc tế; tăng tỷ trọng thu nội địa, bảo đảm tỷ trọng hợp lý giữa thuế gián thu và thuế trực thu, khai thác tốt thuế thu từ tài sản, tài nguyên, bảo vệ môi trường”.</w:t>
      </w:r>
    </w:p>
    <w:p w:rsidR="00452343" w:rsidRPr="001C1752" w:rsidRDefault="009E1C9D" w:rsidP="004E00BD">
      <w:pPr>
        <w:spacing w:before="120" w:after="120"/>
        <w:ind w:firstLine="720"/>
        <w:contextualSpacing/>
        <w:jc w:val="both"/>
        <w:rPr>
          <w:lang w:val="nl-NL"/>
        </w:rPr>
      </w:pPr>
      <w:r w:rsidRPr="001C1752">
        <w:rPr>
          <w:lang w:val="nl-NL"/>
        </w:rPr>
        <w:t xml:space="preserve">Ngoài ra, </w:t>
      </w:r>
      <w:r w:rsidR="00CA28F5" w:rsidRPr="001C1752">
        <w:rPr>
          <w:lang w:val="nl-NL"/>
        </w:rPr>
        <w:t>để đảm bảo lợi ích quốc gia trong điều kiện hội nhập kinh tế ngày càng sâu, rộng, phải thực hiện cắt giảm dần thuế nhập khẩu theo các cam kết quốc tế</w:t>
      </w:r>
      <w:r w:rsidR="006C428E" w:rsidRPr="001C1752">
        <w:rPr>
          <w:rStyle w:val="FootnoteReference"/>
          <w:lang w:val="nl-NL"/>
        </w:rPr>
        <w:footnoteReference w:id="3"/>
      </w:r>
      <w:r w:rsidR="00CA28F5" w:rsidRPr="001C1752">
        <w:rPr>
          <w:lang w:val="nl-NL"/>
        </w:rPr>
        <w:t xml:space="preserve">; đồng thời chủ động ứng phó với diễn biến </w:t>
      </w:r>
      <w:r w:rsidR="0046336E" w:rsidRPr="001C1752">
        <w:rPr>
          <w:lang w:val="nl-NL"/>
        </w:rPr>
        <w:t>khó lường của giá dầu trên thị trường thế giới trong thời gian gần đây</w:t>
      </w:r>
      <w:r w:rsidR="006C428E" w:rsidRPr="001C1752">
        <w:rPr>
          <w:rStyle w:val="FootnoteReference"/>
          <w:lang w:val="nl-NL"/>
        </w:rPr>
        <w:footnoteReference w:id="4"/>
      </w:r>
      <w:r w:rsidR="0046336E" w:rsidRPr="001C1752">
        <w:rPr>
          <w:lang w:val="nl-NL"/>
        </w:rPr>
        <w:t xml:space="preserve"> thì việc sử dụng các chính sách thuế nội địa, trong đó có chính sách thuế BVMT là một trong những công cụ tài chính hiệu quả và khả thi.</w:t>
      </w:r>
    </w:p>
    <w:p w:rsidR="00D714A7" w:rsidRPr="001C1752" w:rsidRDefault="00D714A7" w:rsidP="004E00BD">
      <w:pPr>
        <w:tabs>
          <w:tab w:val="left" w:pos="993"/>
        </w:tabs>
        <w:spacing w:before="120" w:after="120"/>
        <w:ind w:firstLine="720"/>
        <w:contextualSpacing/>
        <w:jc w:val="both"/>
        <w:rPr>
          <w:lang w:val="nl-NL"/>
        </w:rPr>
      </w:pPr>
      <w:r w:rsidRPr="001C1752">
        <w:rPr>
          <w:lang w:val="nl-NL"/>
        </w:rPr>
        <w:t>Như vậy</w:t>
      </w:r>
      <w:r w:rsidR="00F85229" w:rsidRPr="001C1752">
        <w:rPr>
          <w:lang w:val="nl-NL"/>
        </w:rPr>
        <w:t xml:space="preserve">, </w:t>
      </w:r>
      <w:r w:rsidR="00C85C26" w:rsidRPr="001C1752">
        <w:rPr>
          <w:lang w:val="nl-NL"/>
        </w:rPr>
        <w:t xml:space="preserve">để </w:t>
      </w:r>
      <w:r w:rsidR="00452343" w:rsidRPr="001C1752">
        <w:rPr>
          <w:lang w:val="nl-NL"/>
        </w:rPr>
        <w:t xml:space="preserve">tiếp tục thể chế hóa quan điểm, chủ trương của Đảng và </w:t>
      </w:r>
      <w:r w:rsidR="003E3D28" w:rsidRPr="001C1752">
        <w:rPr>
          <w:lang w:val="nl-NL"/>
        </w:rPr>
        <w:t xml:space="preserve">chính sách của </w:t>
      </w:r>
      <w:r w:rsidR="00452343" w:rsidRPr="001C1752">
        <w:rPr>
          <w:lang w:val="nl-NL"/>
        </w:rPr>
        <w:t>Nhà nước về hoàn thiện chính sách tài chính về BVMT hướng tới phát triển bền vững; k</w:t>
      </w:r>
      <w:r w:rsidR="00452343" w:rsidRPr="001C1752">
        <w:rPr>
          <w:lang w:val="nl-NL" w:eastAsia="vi-VN"/>
        </w:rPr>
        <w:t xml:space="preserve">hắc phục </w:t>
      </w:r>
      <w:r w:rsidR="00452343" w:rsidRPr="001C1752">
        <w:rPr>
          <w:lang w:val="am-ET"/>
        </w:rPr>
        <w:t xml:space="preserve">những vướng mắc của </w:t>
      </w:r>
      <w:r w:rsidR="00452343" w:rsidRPr="001C1752">
        <w:rPr>
          <w:lang w:val="nl-NL"/>
        </w:rPr>
        <w:t xml:space="preserve">Luật thuế </w:t>
      </w:r>
      <w:r w:rsidR="00452343" w:rsidRPr="001C1752">
        <w:rPr>
          <w:lang w:val="am-ET"/>
        </w:rPr>
        <w:t>BVMT hiện hành</w:t>
      </w:r>
      <w:r w:rsidR="00452343" w:rsidRPr="001C1752">
        <w:rPr>
          <w:lang w:val="nl-NL"/>
        </w:rPr>
        <w:t>; thực hiện mục tiêu cải cách thuế BVMT, góp phần xây dựng hệ thống thuế đồng bộ</w:t>
      </w:r>
      <w:r w:rsidR="00354F8A" w:rsidRPr="001C1752">
        <w:rPr>
          <w:lang w:val="nl-NL"/>
        </w:rPr>
        <w:t xml:space="preserve">, </w:t>
      </w:r>
      <w:r w:rsidR="00452343" w:rsidRPr="001C1752">
        <w:rPr>
          <w:lang w:val="nl-NL"/>
        </w:rPr>
        <w:t>hoàn thiện</w:t>
      </w:r>
      <w:r w:rsidR="00354F8A" w:rsidRPr="001C1752">
        <w:rPr>
          <w:lang w:val="nl-NL"/>
        </w:rPr>
        <w:t xml:space="preserve"> thể chế, cơ chế tài chính và</w:t>
      </w:r>
      <w:r w:rsidR="00452343" w:rsidRPr="001C1752">
        <w:rPr>
          <w:lang w:val="nl-NL"/>
        </w:rPr>
        <w:t xml:space="preserve"> cơ cấu lại </w:t>
      </w:r>
      <w:r w:rsidR="00354F8A" w:rsidRPr="001C1752">
        <w:rPr>
          <w:lang w:val="nl-NL"/>
        </w:rPr>
        <w:t xml:space="preserve">nguồn thu </w:t>
      </w:r>
      <w:r w:rsidR="00452343" w:rsidRPr="001C1752">
        <w:rPr>
          <w:lang w:val="nl-NL"/>
        </w:rPr>
        <w:t xml:space="preserve">NSNN trong giai đoạn tới; đồng thời </w:t>
      </w:r>
      <w:r w:rsidRPr="001C1752">
        <w:rPr>
          <w:lang w:val="nl-NL"/>
        </w:rPr>
        <w:t xml:space="preserve">phù hợp với </w:t>
      </w:r>
      <w:r w:rsidR="00C85C26" w:rsidRPr="001C1752">
        <w:rPr>
          <w:lang w:val="nl-NL"/>
        </w:rPr>
        <w:t>bối cảnh</w:t>
      </w:r>
      <w:r w:rsidRPr="001C1752">
        <w:rPr>
          <w:lang w:val="nl-NL"/>
        </w:rPr>
        <w:t xml:space="preserve"> phát triển kinh tế - xã hội và hội nhập</w:t>
      </w:r>
      <w:r w:rsidR="00C85C26" w:rsidRPr="001C1752">
        <w:rPr>
          <w:lang w:val="nl-NL"/>
        </w:rPr>
        <w:t xml:space="preserve"> quốc tế ngày càng sâu, rộng</w:t>
      </w:r>
      <w:r w:rsidR="00452343" w:rsidRPr="001C1752">
        <w:rPr>
          <w:lang w:val="nl-NL"/>
        </w:rPr>
        <w:t xml:space="preserve"> </w:t>
      </w:r>
      <w:r w:rsidRPr="001C1752">
        <w:rPr>
          <w:lang w:val="nl-NL"/>
        </w:rPr>
        <w:t xml:space="preserve">thì việc </w:t>
      </w:r>
      <w:r w:rsidR="004435F8" w:rsidRPr="001C1752">
        <w:rPr>
          <w:lang w:val="nl-NL"/>
        </w:rPr>
        <w:t xml:space="preserve">sửa đổi, bổ sung Luật thuế BVMT </w:t>
      </w:r>
      <w:r w:rsidR="006B482D" w:rsidRPr="001C1752">
        <w:rPr>
          <w:lang w:val="nl-NL"/>
        </w:rPr>
        <w:t>là cần thiết.</w:t>
      </w:r>
    </w:p>
    <w:p w:rsidR="00115F53" w:rsidRPr="001C1752" w:rsidRDefault="00452343" w:rsidP="004E00BD">
      <w:pPr>
        <w:spacing w:before="120" w:after="120"/>
        <w:ind w:firstLine="720"/>
        <w:jc w:val="both"/>
        <w:rPr>
          <w:b/>
          <w:sz w:val="26"/>
          <w:szCs w:val="26"/>
          <w:lang w:val="nl-NL"/>
        </w:rPr>
      </w:pPr>
      <w:r w:rsidRPr="001C1752">
        <w:rPr>
          <w:b/>
          <w:sz w:val="26"/>
          <w:szCs w:val="26"/>
          <w:lang w:val="nl-NL"/>
        </w:rPr>
        <w:t xml:space="preserve">II. </w:t>
      </w:r>
      <w:r w:rsidR="00F85229" w:rsidRPr="001C1752">
        <w:rPr>
          <w:b/>
          <w:sz w:val="26"/>
          <w:szCs w:val="26"/>
          <w:lang w:val="nl-NL"/>
        </w:rPr>
        <w:t>QUAN ĐIỂM</w:t>
      </w:r>
      <w:r w:rsidRPr="001C1752">
        <w:rPr>
          <w:b/>
          <w:sz w:val="26"/>
          <w:szCs w:val="26"/>
          <w:lang w:val="nl-NL"/>
        </w:rPr>
        <w:t>, MỤC TIÊU</w:t>
      </w:r>
      <w:r w:rsidR="00F85229" w:rsidRPr="001C1752">
        <w:rPr>
          <w:b/>
          <w:sz w:val="26"/>
          <w:szCs w:val="26"/>
          <w:lang w:val="nl-NL"/>
        </w:rPr>
        <w:t xml:space="preserve"> XÂY DỰNG LUẬT </w:t>
      </w:r>
    </w:p>
    <w:p w:rsidR="00720319" w:rsidRPr="001C1752" w:rsidRDefault="00EF242E" w:rsidP="004E00BD">
      <w:pPr>
        <w:spacing w:before="120" w:after="120"/>
        <w:ind w:firstLine="720"/>
        <w:jc w:val="both"/>
        <w:rPr>
          <w:b/>
          <w:lang w:val="nb-NO"/>
        </w:rPr>
      </w:pPr>
      <w:r w:rsidRPr="001C1752">
        <w:rPr>
          <w:b/>
          <w:lang w:val="nb-NO"/>
        </w:rPr>
        <w:t>1. Quan điểm</w:t>
      </w:r>
    </w:p>
    <w:p w:rsidR="00922050" w:rsidRPr="001C1752" w:rsidRDefault="00D539C3" w:rsidP="004E00BD">
      <w:pPr>
        <w:spacing w:before="120" w:after="120"/>
        <w:ind w:firstLine="720"/>
        <w:jc w:val="both"/>
        <w:rPr>
          <w:lang w:val="nb-NO"/>
        </w:rPr>
      </w:pPr>
      <w:r w:rsidRPr="001C1752">
        <w:rPr>
          <w:lang w:val="nb-NO"/>
        </w:rPr>
        <w:t>-</w:t>
      </w:r>
      <w:r w:rsidR="00720319" w:rsidRPr="001C1752">
        <w:rPr>
          <w:lang w:val="nb-NO"/>
        </w:rPr>
        <w:t xml:space="preserve"> Thể chế hóa kịp thời, đầy đủ các chủ trương, đường lối</w:t>
      </w:r>
      <w:r w:rsidR="00B242EA" w:rsidRPr="001C1752">
        <w:rPr>
          <w:lang w:val="nb-NO"/>
        </w:rPr>
        <w:t xml:space="preserve"> </w:t>
      </w:r>
      <w:r w:rsidR="00720319" w:rsidRPr="001C1752">
        <w:rPr>
          <w:lang w:val="nb-NO"/>
        </w:rPr>
        <w:t>của Đảng và Nhà nước về hoàn thiện thể chế, cơ chế</w:t>
      </w:r>
      <w:r w:rsidR="00B242EA" w:rsidRPr="001C1752">
        <w:rPr>
          <w:lang w:val="nb-NO"/>
        </w:rPr>
        <w:t>, chính sách</w:t>
      </w:r>
      <w:r w:rsidR="00720319" w:rsidRPr="001C1752">
        <w:rPr>
          <w:lang w:val="nb-NO"/>
        </w:rPr>
        <w:t xml:space="preserve"> tài chính</w:t>
      </w:r>
      <w:r w:rsidR="00B242EA" w:rsidRPr="001C1752">
        <w:rPr>
          <w:lang w:val="nb-NO"/>
        </w:rPr>
        <w:t xml:space="preserve"> về BVMT</w:t>
      </w:r>
      <w:r w:rsidR="00922050" w:rsidRPr="001C1752">
        <w:rPr>
          <w:lang w:val="nb-NO"/>
        </w:rPr>
        <w:t xml:space="preserve"> và cơ cấu lại NSNN trong giai đoạn tới; </w:t>
      </w:r>
    </w:p>
    <w:p w:rsidR="00922050" w:rsidRPr="001C1752" w:rsidRDefault="00922050" w:rsidP="004E00BD">
      <w:pPr>
        <w:spacing w:before="120" w:after="120"/>
        <w:ind w:firstLine="720"/>
        <w:jc w:val="both"/>
        <w:rPr>
          <w:lang w:val="nb-NO"/>
        </w:rPr>
      </w:pPr>
      <w:r w:rsidRPr="001C1752">
        <w:rPr>
          <w:lang w:val="nb-NO"/>
        </w:rPr>
        <w:t>- Bảo đảm tính thống nhất và đồng bộ của hệ thống pháp luật về thuế và pháp luật khác có liên quan; phù hợp Chiến lược cải cách hệ thống thuế giai đoạn 2011-2020;</w:t>
      </w:r>
    </w:p>
    <w:p w:rsidR="005C3F45" w:rsidRPr="001C1752" w:rsidRDefault="00D539C3" w:rsidP="004E00BD">
      <w:pPr>
        <w:spacing w:before="120" w:after="120"/>
        <w:ind w:firstLine="720"/>
        <w:jc w:val="both"/>
        <w:rPr>
          <w:lang w:val="nb-NO"/>
        </w:rPr>
      </w:pPr>
      <w:r w:rsidRPr="001C1752">
        <w:rPr>
          <w:lang w:val="nb-NO"/>
        </w:rPr>
        <w:t>-</w:t>
      </w:r>
      <w:r w:rsidR="00724C35" w:rsidRPr="001C1752">
        <w:rPr>
          <w:lang w:val="nb-NO"/>
        </w:rPr>
        <w:t xml:space="preserve"> Bảo đảm lợi ích quốc gia trong bối cảnh phát triển kinh tế - xã hội và hội nhập quốc tế ngày càng sâu, rộng</w:t>
      </w:r>
      <w:r w:rsidR="00A96149" w:rsidRPr="001C1752">
        <w:rPr>
          <w:lang w:val="nb-NO"/>
        </w:rPr>
        <w:t xml:space="preserve">, đảm bảo </w:t>
      </w:r>
      <w:r w:rsidR="00AF1985" w:rsidRPr="001C1752">
        <w:rPr>
          <w:lang w:val="nb-NO"/>
        </w:rPr>
        <w:t>phù hợp với thông lệ quốc</w:t>
      </w:r>
      <w:r w:rsidR="00A96149" w:rsidRPr="001C1752">
        <w:rPr>
          <w:lang w:val="nb-NO"/>
        </w:rPr>
        <w:t xml:space="preserve"> tế</w:t>
      </w:r>
      <w:r w:rsidR="00922050" w:rsidRPr="001C1752">
        <w:rPr>
          <w:lang w:val="nb-NO"/>
        </w:rPr>
        <w:t>.</w:t>
      </w:r>
    </w:p>
    <w:p w:rsidR="004E00BD" w:rsidRDefault="004E00BD" w:rsidP="004E00BD">
      <w:pPr>
        <w:spacing w:before="120" w:after="120"/>
        <w:ind w:firstLine="720"/>
        <w:jc w:val="both"/>
        <w:rPr>
          <w:b/>
          <w:lang w:val="nb-NO"/>
        </w:rPr>
      </w:pPr>
    </w:p>
    <w:p w:rsidR="005C3F45" w:rsidRPr="001C1752" w:rsidRDefault="00EF242E" w:rsidP="004E00BD">
      <w:pPr>
        <w:spacing w:before="120" w:after="120"/>
        <w:ind w:firstLine="720"/>
        <w:jc w:val="both"/>
        <w:rPr>
          <w:b/>
          <w:lang w:val="nb-NO"/>
        </w:rPr>
      </w:pPr>
      <w:r w:rsidRPr="001C1752">
        <w:rPr>
          <w:b/>
          <w:lang w:val="nb-NO"/>
        </w:rPr>
        <w:lastRenderedPageBreak/>
        <w:t xml:space="preserve">2. </w:t>
      </w:r>
      <w:r w:rsidR="00452343" w:rsidRPr="001C1752">
        <w:rPr>
          <w:b/>
          <w:lang w:val="nb-NO"/>
        </w:rPr>
        <w:t>Mục tiêu</w:t>
      </w:r>
    </w:p>
    <w:p w:rsidR="005C3F45" w:rsidRPr="001C1752" w:rsidRDefault="0032608F" w:rsidP="004E00BD">
      <w:pPr>
        <w:spacing w:before="120" w:after="120"/>
        <w:ind w:firstLine="720"/>
        <w:jc w:val="both"/>
        <w:rPr>
          <w:lang w:val="nl-NL"/>
        </w:rPr>
      </w:pPr>
      <w:r w:rsidRPr="001C1752">
        <w:rPr>
          <w:lang w:val="nl-NL"/>
        </w:rPr>
        <w:t xml:space="preserve">- </w:t>
      </w:r>
      <w:r w:rsidR="00115F53" w:rsidRPr="001C1752">
        <w:rPr>
          <w:lang w:val="nl-NL"/>
        </w:rPr>
        <w:t>Kịp thời sửa đổi</w:t>
      </w:r>
      <w:r w:rsidR="00AE52E6" w:rsidRPr="001C1752">
        <w:rPr>
          <w:lang w:val="nl-NL"/>
        </w:rPr>
        <w:t>, bổ sung</w:t>
      </w:r>
      <w:r w:rsidR="00115F53" w:rsidRPr="001C1752">
        <w:rPr>
          <w:lang w:val="nl-NL"/>
        </w:rPr>
        <w:t xml:space="preserve"> </w:t>
      </w:r>
      <w:r w:rsidR="00C320C2" w:rsidRPr="001C1752">
        <w:rPr>
          <w:lang w:val="nl-NL"/>
        </w:rPr>
        <w:t>những hạn chế của Luật thuế BVMT hiện hành</w:t>
      </w:r>
      <w:r w:rsidR="00FB76F9" w:rsidRPr="001C1752">
        <w:rPr>
          <w:lang w:val="nl-NL"/>
        </w:rPr>
        <w:t xml:space="preserve"> </w:t>
      </w:r>
      <w:r w:rsidR="00115F53" w:rsidRPr="001C1752">
        <w:rPr>
          <w:lang w:val="nl-NL"/>
        </w:rPr>
        <w:t>nhằm nâng cao</w:t>
      </w:r>
      <w:r w:rsidR="005C3F45" w:rsidRPr="001C1752">
        <w:rPr>
          <w:lang w:val="nl-NL"/>
        </w:rPr>
        <w:t xml:space="preserve"> hơn nữa trách nhiệm và nhận thức của tổ chức, cá nhân đối với môi trường và khuyến khích sản xuất, sử dụng hàng hóa thân thiện với môi trường;</w:t>
      </w:r>
    </w:p>
    <w:p w:rsidR="00115F53" w:rsidRPr="001C1752" w:rsidRDefault="00115F53" w:rsidP="004E00BD">
      <w:pPr>
        <w:spacing w:before="120" w:after="120"/>
        <w:ind w:firstLine="720"/>
        <w:jc w:val="both"/>
        <w:rPr>
          <w:lang w:val="nl-NL"/>
        </w:rPr>
      </w:pPr>
      <w:r w:rsidRPr="001C1752">
        <w:rPr>
          <w:lang w:val="nl-NL"/>
        </w:rPr>
        <w:t>- Tiếp cận có chọn lọc thông lệ quốc tế, phù hợp với điều kiện thực tế của Việt Nam;</w:t>
      </w:r>
    </w:p>
    <w:p w:rsidR="005C3F45" w:rsidRPr="001C1752" w:rsidRDefault="00C320C2" w:rsidP="004E00BD">
      <w:pPr>
        <w:spacing w:before="120" w:after="120"/>
        <w:ind w:firstLine="720"/>
        <w:jc w:val="both"/>
        <w:rPr>
          <w:lang w:val="nl-NL"/>
        </w:rPr>
      </w:pPr>
      <w:r w:rsidRPr="001C1752">
        <w:rPr>
          <w:lang w:val="nl-NL"/>
        </w:rPr>
        <w:t xml:space="preserve">- Động viên hợp lý đóng góp của xã hội, </w:t>
      </w:r>
      <w:r w:rsidR="006A3ABD" w:rsidRPr="001C1752">
        <w:rPr>
          <w:lang w:val="nl-NL"/>
        </w:rPr>
        <w:t xml:space="preserve">góp phần </w:t>
      </w:r>
      <w:r w:rsidR="00B51D63" w:rsidRPr="001C1752">
        <w:rPr>
          <w:lang w:val="nl-NL"/>
        </w:rPr>
        <w:t>tăng thu NSNN từ đ</w:t>
      </w:r>
      <w:r w:rsidR="0009118F" w:rsidRPr="001C1752">
        <w:rPr>
          <w:lang w:val="nl-NL"/>
        </w:rPr>
        <w:t>ó</w:t>
      </w:r>
      <w:r w:rsidR="00460962" w:rsidRPr="001C1752">
        <w:rPr>
          <w:lang w:val="nl-NL"/>
        </w:rPr>
        <w:t xml:space="preserve"> gián tiếp</w:t>
      </w:r>
      <w:r w:rsidR="00B51D63" w:rsidRPr="001C1752">
        <w:rPr>
          <w:lang w:val="nl-NL"/>
        </w:rPr>
        <w:t xml:space="preserve"> </w:t>
      </w:r>
      <w:r w:rsidRPr="001C1752">
        <w:rPr>
          <w:lang w:val="nl-NL"/>
        </w:rPr>
        <w:t xml:space="preserve">tạo thêm nguồn thu </w:t>
      </w:r>
      <w:r w:rsidR="002617BE" w:rsidRPr="001C1752">
        <w:rPr>
          <w:lang w:val="nl-NL"/>
        </w:rPr>
        <w:t>để giải quyết vấn đề môi trường</w:t>
      </w:r>
      <w:r w:rsidR="009C244E" w:rsidRPr="001C1752">
        <w:rPr>
          <w:lang w:val="nl-NL"/>
        </w:rPr>
        <w:t>,</w:t>
      </w:r>
      <w:r w:rsidR="002617BE" w:rsidRPr="001C1752">
        <w:rPr>
          <w:lang w:val="nl-NL"/>
        </w:rPr>
        <w:t xml:space="preserve"> nhưng vẫn</w:t>
      </w:r>
      <w:r w:rsidR="00D11B06" w:rsidRPr="001C1752">
        <w:rPr>
          <w:lang w:val="nl-NL"/>
        </w:rPr>
        <w:t xml:space="preserve"> </w:t>
      </w:r>
      <w:r w:rsidRPr="001C1752">
        <w:rPr>
          <w:lang w:val="nl-NL"/>
        </w:rPr>
        <w:t xml:space="preserve">đảm bảo tính cạnh tranh của nền kinh tế, của các sản phẩm chủ yếu của Việt Nam; </w:t>
      </w:r>
    </w:p>
    <w:p w:rsidR="00115F53" w:rsidRPr="001C1752" w:rsidRDefault="00C320C2" w:rsidP="004E00BD">
      <w:pPr>
        <w:spacing w:before="120" w:after="120"/>
        <w:ind w:firstLine="720"/>
        <w:jc w:val="both"/>
        <w:rPr>
          <w:lang w:val="nl-NL"/>
        </w:rPr>
      </w:pPr>
      <w:r w:rsidRPr="001C1752">
        <w:rPr>
          <w:lang w:val="nl-NL"/>
        </w:rPr>
        <w:t>- Đảm bảo chính sách công khai, minh bạch, dễ hiểu, d</w:t>
      </w:r>
      <w:r w:rsidR="0009118F" w:rsidRPr="001C1752">
        <w:rPr>
          <w:lang w:val="nl-NL"/>
        </w:rPr>
        <w:t xml:space="preserve">ễ thực hiện, </w:t>
      </w:r>
      <w:r w:rsidRPr="001C1752">
        <w:rPr>
          <w:lang w:val="nl-NL"/>
        </w:rPr>
        <w:t xml:space="preserve">thuận lợi hơn cho người nộp thuế và cơ quan quản lý thuế, góp phần thúc đẩy cải cách </w:t>
      </w:r>
      <w:r w:rsidR="00C51B7C" w:rsidRPr="001C1752">
        <w:rPr>
          <w:lang w:val="nl-NL"/>
        </w:rPr>
        <w:t xml:space="preserve">thủ tục </w:t>
      </w:r>
      <w:r w:rsidRPr="001C1752">
        <w:rPr>
          <w:lang w:val="nl-NL"/>
        </w:rPr>
        <w:t>hành chính.</w:t>
      </w:r>
    </w:p>
    <w:p w:rsidR="004A6BFF" w:rsidRPr="001C1752" w:rsidRDefault="004A6BFF" w:rsidP="004E00BD">
      <w:pPr>
        <w:spacing w:before="120" w:after="120"/>
        <w:ind w:firstLine="720"/>
        <w:jc w:val="both"/>
        <w:rPr>
          <w:lang w:val="nl-NL"/>
        </w:rPr>
      </w:pPr>
      <w:r w:rsidRPr="001C1752">
        <w:rPr>
          <w:b/>
          <w:bCs/>
          <w:sz w:val="26"/>
          <w:szCs w:val="26"/>
          <w:lang w:val="nb-NO"/>
        </w:rPr>
        <w:t>III</w:t>
      </w:r>
      <w:r w:rsidRPr="001C1752">
        <w:rPr>
          <w:b/>
          <w:bCs/>
          <w:sz w:val="26"/>
          <w:szCs w:val="26"/>
          <w:lang w:val="vi-VN"/>
        </w:rPr>
        <w:t xml:space="preserve">. </w:t>
      </w:r>
      <w:r w:rsidRPr="001C1752">
        <w:rPr>
          <w:b/>
          <w:bCs/>
          <w:sz w:val="26"/>
          <w:szCs w:val="26"/>
          <w:lang w:val="nl-NL"/>
        </w:rPr>
        <w:t>QUÁ TRÌNH XÂY DỰNG DỰ ÁN LUẬT</w:t>
      </w:r>
    </w:p>
    <w:p w:rsidR="00CF5E03" w:rsidRPr="001C1752" w:rsidRDefault="00CF5E03" w:rsidP="004E00BD">
      <w:pPr>
        <w:pStyle w:val="NormalWeb"/>
        <w:spacing w:before="120" w:beforeAutospacing="0" w:after="120" w:afterAutospacing="0"/>
        <w:ind w:firstLine="720"/>
        <w:jc w:val="both"/>
        <w:rPr>
          <w:sz w:val="28"/>
          <w:szCs w:val="28"/>
          <w:lang w:val="nl-NL"/>
        </w:rPr>
      </w:pPr>
      <w:r w:rsidRPr="001C1752">
        <w:rPr>
          <w:sz w:val="28"/>
          <w:szCs w:val="28"/>
          <w:lang w:val="nl-NL"/>
        </w:rPr>
        <w:t>Thực hiện Luật ban hành văn bản quy phạm pháp luật năm 2015, Bộ Tài chính đã tiến hành tổng kết, đánh giá tình hình thực hiện Luật thuế BVMT, nghiên cứu các chủ trương, quan điểm của Đảng, chính sách của Nhà nước về BVMT, chính sách tài chính về BVMT và lập đề nghị xây dựng dự án Luật.</w:t>
      </w:r>
    </w:p>
    <w:p w:rsidR="00CF5E03" w:rsidRPr="001C1752" w:rsidRDefault="00CF5E03" w:rsidP="004E00BD">
      <w:pPr>
        <w:pStyle w:val="NormalWeb"/>
        <w:spacing w:before="120" w:beforeAutospacing="0" w:after="120" w:afterAutospacing="0"/>
        <w:ind w:firstLine="720"/>
        <w:jc w:val="both"/>
        <w:rPr>
          <w:sz w:val="28"/>
          <w:szCs w:val="28"/>
          <w:lang w:val="nl-NL"/>
        </w:rPr>
      </w:pPr>
      <w:r w:rsidRPr="001C1752">
        <w:rPr>
          <w:sz w:val="28"/>
          <w:szCs w:val="28"/>
          <w:lang w:val="nl-NL"/>
        </w:rPr>
        <w:t xml:space="preserve">Ngày 14/2/2017, Bộ Tài chính đã có Tờ trình số 22/TTr-BTC trình Chính phủ về đề nghị xây dựng dự án Luật. </w:t>
      </w:r>
    </w:p>
    <w:p w:rsidR="00CF5E03" w:rsidRPr="001C1752" w:rsidRDefault="00CF5E03" w:rsidP="004E00BD">
      <w:pPr>
        <w:pStyle w:val="NormalWeb"/>
        <w:spacing w:before="120" w:beforeAutospacing="0" w:after="120" w:afterAutospacing="0"/>
        <w:ind w:firstLine="720"/>
        <w:jc w:val="both"/>
        <w:rPr>
          <w:sz w:val="28"/>
          <w:szCs w:val="28"/>
          <w:lang w:val="nl-NL"/>
        </w:rPr>
      </w:pPr>
      <w:r w:rsidRPr="001C1752">
        <w:rPr>
          <w:sz w:val="28"/>
          <w:szCs w:val="28"/>
          <w:lang w:val="nl-NL"/>
        </w:rPr>
        <w:t xml:space="preserve">Ngày 10/3/2017, Bộ trưởng Bộ Tư pháp đã thừa ủy quyền Thủ tướng Chính phủ, thay mặt Chính phủ ký Tờ trình số 78/TTr-CP trình </w:t>
      </w:r>
      <w:r w:rsidR="00D15FF0" w:rsidRPr="00D15FF0">
        <w:rPr>
          <w:sz w:val="28"/>
          <w:szCs w:val="28"/>
          <w:lang w:val="nl-NL"/>
        </w:rPr>
        <w:t>Ủy</w:t>
      </w:r>
      <w:r w:rsidR="00D15FF0">
        <w:rPr>
          <w:sz w:val="28"/>
          <w:szCs w:val="28"/>
          <w:lang w:val="nl-NL"/>
        </w:rPr>
        <w:t xml:space="preserve"> ban thư</w:t>
      </w:r>
      <w:r w:rsidR="00D15FF0" w:rsidRPr="00D15FF0">
        <w:rPr>
          <w:sz w:val="28"/>
          <w:szCs w:val="28"/>
          <w:lang w:val="nl-NL"/>
        </w:rPr>
        <w:t>ờng</w:t>
      </w:r>
      <w:r w:rsidR="00D15FF0">
        <w:rPr>
          <w:sz w:val="28"/>
          <w:szCs w:val="28"/>
          <w:lang w:val="nl-NL"/>
        </w:rPr>
        <w:t xml:space="preserve"> v</w:t>
      </w:r>
      <w:r w:rsidR="00D15FF0" w:rsidRPr="00D15FF0">
        <w:rPr>
          <w:sz w:val="28"/>
          <w:szCs w:val="28"/>
          <w:lang w:val="nl-NL"/>
        </w:rPr>
        <w:t>ụ</w:t>
      </w:r>
      <w:r w:rsidR="00D15FF0">
        <w:rPr>
          <w:sz w:val="28"/>
          <w:szCs w:val="28"/>
          <w:lang w:val="nl-NL"/>
        </w:rPr>
        <w:t xml:space="preserve"> Qu</w:t>
      </w:r>
      <w:r w:rsidR="00D15FF0" w:rsidRPr="00D15FF0">
        <w:rPr>
          <w:sz w:val="28"/>
          <w:szCs w:val="28"/>
          <w:lang w:val="nl-NL"/>
        </w:rPr>
        <w:t>ốc</w:t>
      </w:r>
      <w:r w:rsidR="00D15FF0">
        <w:rPr>
          <w:sz w:val="28"/>
          <w:szCs w:val="28"/>
          <w:lang w:val="nl-NL"/>
        </w:rPr>
        <w:t xml:space="preserve"> h</w:t>
      </w:r>
      <w:r w:rsidR="00D15FF0" w:rsidRPr="00D15FF0">
        <w:rPr>
          <w:sz w:val="28"/>
          <w:szCs w:val="28"/>
          <w:lang w:val="nl-NL"/>
        </w:rPr>
        <w:t>ội</w:t>
      </w:r>
      <w:r w:rsidRPr="001C1752">
        <w:rPr>
          <w:sz w:val="28"/>
          <w:szCs w:val="28"/>
          <w:lang w:val="nl-NL"/>
        </w:rPr>
        <w:t xml:space="preserve"> về đề nghị của Chính phủ về Chương trình xây dựng luật, pháp lệnh năm 2018; điều chỉnh Chương trình xây dựng luật, pháp lệnh năm 2017, trong đó đề nghị bổ sung dự án Luật vào Chương trình xây dựng luật, pháp lệnh năm 2017 của Quốc hội, dự kiến trình Quốc hội cho ý kiến tại 1 kỳ họp (kỳ họp thứ 4 tháng 10/2017). </w:t>
      </w:r>
    </w:p>
    <w:p w:rsidR="00CF5E03" w:rsidRPr="001C1752" w:rsidRDefault="00CF5E03" w:rsidP="004E00BD">
      <w:pPr>
        <w:pStyle w:val="NormalWeb"/>
        <w:spacing w:before="120" w:beforeAutospacing="0" w:after="120" w:afterAutospacing="0"/>
        <w:ind w:firstLine="720"/>
        <w:jc w:val="both"/>
        <w:rPr>
          <w:rFonts w:asciiTheme="majorHAnsi" w:hAnsiTheme="majorHAnsi" w:cstheme="majorHAnsi"/>
          <w:sz w:val="28"/>
          <w:szCs w:val="28"/>
          <w:lang w:val="nl-NL"/>
        </w:rPr>
      </w:pPr>
      <w:r w:rsidRPr="001C1752">
        <w:rPr>
          <w:rFonts w:asciiTheme="majorHAnsi" w:hAnsiTheme="majorHAnsi" w:cstheme="majorHAnsi"/>
          <w:sz w:val="28"/>
          <w:szCs w:val="28"/>
          <w:lang w:val="nl-NL"/>
        </w:rPr>
        <w:t xml:space="preserve">Ngày 22/4/2017, tại kỳ họp thứ 9, </w:t>
      </w:r>
      <w:r w:rsidR="00D15FF0" w:rsidRPr="00D15FF0">
        <w:rPr>
          <w:sz w:val="28"/>
          <w:szCs w:val="28"/>
          <w:lang w:val="nl-NL"/>
        </w:rPr>
        <w:t>Ủy</w:t>
      </w:r>
      <w:r w:rsidR="00D15FF0">
        <w:rPr>
          <w:sz w:val="28"/>
          <w:szCs w:val="28"/>
          <w:lang w:val="nl-NL"/>
        </w:rPr>
        <w:t xml:space="preserve"> ban thư</w:t>
      </w:r>
      <w:r w:rsidR="00D15FF0" w:rsidRPr="00D15FF0">
        <w:rPr>
          <w:sz w:val="28"/>
          <w:szCs w:val="28"/>
          <w:lang w:val="nl-NL"/>
        </w:rPr>
        <w:t>ờng</w:t>
      </w:r>
      <w:r w:rsidR="00D15FF0">
        <w:rPr>
          <w:sz w:val="28"/>
          <w:szCs w:val="28"/>
          <w:lang w:val="nl-NL"/>
        </w:rPr>
        <w:t xml:space="preserve"> v</w:t>
      </w:r>
      <w:r w:rsidR="00D15FF0" w:rsidRPr="00D15FF0">
        <w:rPr>
          <w:sz w:val="28"/>
          <w:szCs w:val="28"/>
          <w:lang w:val="nl-NL"/>
        </w:rPr>
        <w:t>ụ</w:t>
      </w:r>
      <w:r w:rsidR="00D15FF0">
        <w:rPr>
          <w:sz w:val="28"/>
          <w:szCs w:val="28"/>
          <w:lang w:val="nl-NL"/>
        </w:rPr>
        <w:t xml:space="preserve"> Qu</w:t>
      </w:r>
      <w:r w:rsidR="00D15FF0" w:rsidRPr="00D15FF0">
        <w:rPr>
          <w:sz w:val="28"/>
          <w:szCs w:val="28"/>
          <w:lang w:val="nl-NL"/>
        </w:rPr>
        <w:t>ốc</w:t>
      </w:r>
      <w:r w:rsidR="00D15FF0">
        <w:rPr>
          <w:sz w:val="28"/>
          <w:szCs w:val="28"/>
          <w:lang w:val="nl-NL"/>
        </w:rPr>
        <w:t xml:space="preserve"> h</w:t>
      </w:r>
      <w:r w:rsidR="00D15FF0" w:rsidRPr="00D15FF0">
        <w:rPr>
          <w:sz w:val="28"/>
          <w:szCs w:val="28"/>
          <w:lang w:val="nl-NL"/>
        </w:rPr>
        <w:t>ội</w:t>
      </w:r>
      <w:r w:rsidR="00D15FF0">
        <w:rPr>
          <w:sz w:val="28"/>
          <w:szCs w:val="28"/>
          <w:lang w:val="nl-NL"/>
        </w:rPr>
        <w:t xml:space="preserve"> </w:t>
      </w:r>
      <w:r w:rsidRPr="001C1752">
        <w:rPr>
          <w:rFonts w:asciiTheme="majorHAnsi" w:hAnsiTheme="majorHAnsi" w:cstheme="majorHAnsi"/>
          <w:sz w:val="28"/>
          <w:szCs w:val="28"/>
          <w:lang w:val="nl-NL"/>
        </w:rPr>
        <w:t>đã đồng ý trình Quốc hội bổ sung dự án Luật vào Chương trình xây dựng luật, pháp lệnh năm 2017 của Quốc hội (việc thông qua 1 kỳ hay 2 kỳ sẽ phụ thuộc vào nội dung chuẩn bị của dự án Luật).</w:t>
      </w:r>
    </w:p>
    <w:p w:rsidR="00083130" w:rsidRPr="001C1752" w:rsidRDefault="00EA4014" w:rsidP="004E00BD">
      <w:pPr>
        <w:widowControl w:val="0"/>
        <w:spacing w:before="120" w:after="120"/>
        <w:ind w:firstLine="720"/>
        <w:jc w:val="both"/>
        <w:rPr>
          <w:lang w:val="nl-NL"/>
        </w:rPr>
      </w:pPr>
      <w:r w:rsidRPr="001C1752">
        <w:rPr>
          <w:lang w:val="nl-NL"/>
        </w:rPr>
        <w:t>Để soạn thảo, xây dựng hồ sơ dự án Luật trình Quốc hội tại kỳ họp thứ 4, tháng 10/2017</w:t>
      </w:r>
      <w:r w:rsidR="00083130" w:rsidRPr="001C1752">
        <w:rPr>
          <w:lang w:val="nl-NL"/>
        </w:rPr>
        <w:t xml:space="preserve">, Bộ Tài chính đã </w:t>
      </w:r>
      <w:r w:rsidR="00015D5A" w:rsidRPr="001C1752">
        <w:rPr>
          <w:lang w:val="nl-NL"/>
        </w:rPr>
        <w:t>thành lập Ban soạn thảo và Tổ biên tập để xây dựng dự án Luật (</w:t>
      </w:r>
      <w:r w:rsidR="00083130" w:rsidRPr="001C1752">
        <w:rPr>
          <w:lang w:val="nl-NL"/>
        </w:rPr>
        <w:t>Quyết định số</w:t>
      </w:r>
      <w:r w:rsidR="004656FD" w:rsidRPr="001C1752">
        <w:rPr>
          <w:lang w:val="nl-NL"/>
        </w:rPr>
        <w:t xml:space="preserve"> </w:t>
      </w:r>
      <w:r w:rsidR="00DA7609" w:rsidRPr="001C1752">
        <w:rPr>
          <w:lang w:val="nl-NL"/>
        </w:rPr>
        <w:t>713</w:t>
      </w:r>
      <w:r w:rsidR="00083130" w:rsidRPr="001C1752">
        <w:rPr>
          <w:lang w:val="nl-NL"/>
        </w:rPr>
        <w:t xml:space="preserve">/2017/QĐ-BTC </w:t>
      </w:r>
      <w:r w:rsidR="00DA7609" w:rsidRPr="001C1752">
        <w:rPr>
          <w:lang w:val="nl-NL"/>
        </w:rPr>
        <w:t xml:space="preserve">ngày 24/4/2017 </w:t>
      </w:r>
      <w:r w:rsidR="00015D5A" w:rsidRPr="001C1752">
        <w:rPr>
          <w:lang w:val="nl-NL"/>
        </w:rPr>
        <w:t>của Bộ Tài chính)</w:t>
      </w:r>
      <w:r w:rsidR="00212DEB" w:rsidRPr="001C1752">
        <w:rPr>
          <w:lang w:val="nl-NL"/>
        </w:rPr>
        <w:t>.</w:t>
      </w:r>
    </w:p>
    <w:p w:rsidR="00452343" w:rsidRPr="001C1752" w:rsidRDefault="00452343" w:rsidP="004E00BD">
      <w:pPr>
        <w:widowControl w:val="0"/>
        <w:spacing w:before="120" w:after="120"/>
        <w:ind w:firstLine="720"/>
        <w:jc w:val="both"/>
        <w:rPr>
          <w:lang w:val="nl-NL"/>
        </w:rPr>
      </w:pPr>
      <w:r w:rsidRPr="001C1752">
        <w:rPr>
          <w:lang w:val="nl-NL"/>
        </w:rPr>
        <w:t>Ngày 10/5/2017, Ban Soạn thảo và Tổ biên tập đã họp để cho ý kiến về dự án Luật.</w:t>
      </w:r>
    </w:p>
    <w:p w:rsidR="002740EA" w:rsidRPr="001C1752" w:rsidRDefault="002740EA" w:rsidP="004E00BD">
      <w:pPr>
        <w:widowControl w:val="0"/>
        <w:spacing w:before="120" w:after="120"/>
        <w:ind w:firstLine="720"/>
        <w:jc w:val="both"/>
        <w:rPr>
          <w:lang w:val="nl-NL"/>
        </w:rPr>
      </w:pPr>
      <w:r w:rsidRPr="001C1752">
        <w:rPr>
          <w:lang w:val="nl-NL"/>
        </w:rPr>
        <w:t xml:space="preserve">Dự án Luật đã được gửi xin ý kiến tham gia của các Bộ, ngành, địa phương, các tổ chức xã hội, các hiệp hội doanh nghiệp; đồng thời, lấy ý kiến rộng rãi của các tổ chức, cá nhân thông qua Trang thông tin điện tử của </w:t>
      </w:r>
      <w:r w:rsidRPr="001C1752">
        <w:rPr>
          <w:bCs/>
          <w:lang w:val="nl-NL"/>
        </w:rPr>
        <w:t xml:space="preserve">Chính </w:t>
      </w:r>
      <w:r w:rsidRPr="001C1752">
        <w:rPr>
          <w:bCs/>
          <w:lang w:val="nl-NL"/>
        </w:rPr>
        <w:lastRenderedPageBreak/>
        <w:t>phủ</w:t>
      </w:r>
      <w:r w:rsidRPr="001C1752">
        <w:rPr>
          <w:lang w:val="nl-NL"/>
        </w:rPr>
        <w:t xml:space="preserve"> và Trang thông tin điện tử của Bộ Tài chính</w:t>
      </w:r>
      <w:r w:rsidR="00AE52E6" w:rsidRPr="001C1752">
        <w:rPr>
          <w:lang w:val="nl-NL"/>
        </w:rPr>
        <w:t xml:space="preserve"> (C</w:t>
      </w:r>
      <w:r w:rsidRPr="001C1752">
        <w:rPr>
          <w:lang w:val="nl-NL"/>
        </w:rPr>
        <w:t>ông văn số .../BTC-CST ngày .../.../2017 của Bộ Tài chính). Bộ Tài chính đã nghiên cứu ý kiến đóng góp,</w:t>
      </w:r>
      <w:r w:rsidR="00AE52E6" w:rsidRPr="001C1752">
        <w:rPr>
          <w:lang w:val="nl-NL"/>
        </w:rPr>
        <w:t xml:space="preserve"> tiếp thu hoàn chỉnh dự án Luật</w:t>
      </w:r>
      <w:r w:rsidRPr="001C1752">
        <w:rPr>
          <w:lang w:val="nl-NL"/>
        </w:rPr>
        <w:t>.</w:t>
      </w:r>
      <w:r w:rsidR="00BF79DE" w:rsidRPr="001C1752">
        <w:rPr>
          <w:lang w:val="nl-NL"/>
        </w:rPr>
        <w:t xml:space="preserve"> Báo cáo giải trình, tiếp thu ý kiến tham gia đã được đăng tải trên Trang thông tin điện tử của </w:t>
      </w:r>
      <w:r w:rsidR="00BF79DE" w:rsidRPr="001C1752">
        <w:rPr>
          <w:bCs/>
          <w:lang w:val="nl-NL"/>
        </w:rPr>
        <w:t>Chính phủ</w:t>
      </w:r>
      <w:r w:rsidR="00BF79DE" w:rsidRPr="001C1752">
        <w:rPr>
          <w:lang w:val="nl-NL"/>
        </w:rPr>
        <w:t xml:space="preserve"> và Trang thông tin điện tử của Bộ Tài chính (Công văn số .../BTC-CST ngày .../.../2017 của Bộ Tài chính).</w:t>
      </w:r>
    </w:p>
    <w:p w:rsidR="002740EA" w:rsidRPr="001C1752" w:rsidRDefault="00E9682C" w:rsidP="004E00BD">
      <w:pPr>
        <w:widowControl w:val="0"/>
        <w:spacing w:before="120" w:after="120"/>
        <w:ind w:firstLine="720"/>
        <w:jc w:val="both"/>
        <w:rPr>
          <w:lang w:val="nl-NL"/>
        </w:rPr>
      </w:pPr>
      <w:r w:rsidRPr="001C1752">
        <w:rPr>
          <w:lang w:val="nl-NL"/>
        </w:rPr>
        <w:t>Dự án Luật đã được gửi xin ý kiến thẩm định của Bộ Tư pháp (</w:t>
      </w:r>
      <w:r w:rsidR="00AE52E6" w:rsidRPr="001C1752">
        <w:rPr>
          <w:lang w:val="nl-NL"/>
        </w:rPr>
        <w:t>C</w:t>
      </w:r>
      <w:r w:rsidRPr="001C1752">
        <w:rPr>
          <w:lang w:val="nl-NL"/>
        </w:rPr>
        <w:t>ông văn số .../BTC-CST ngày .../.../2017 của Bộ Tài chính). Ngày .../.../2017, Bộ Tư pháp đã có Báo cáo thẩm định số .../BTP-PLDSKT về dự án Luật. Bộ Tài chính đã nghiên cứu tiếp thu, giải trình ý kiến thẩm định của Bộ Tư pháp và hoàn chỉnh dự án Luật.</w:t>
      </w:r>
    </w:p>
    <w:p w:rsidR="001D4D0B" w:rsidRPr="001C1752" w:rsidRDefault="004A6BFF" w:rsidP="004E00BD">
      <w:pPr>
        <w:spacing w:before="120" w:after="120"/>
        <w:ind w:firstLine="720"/>
        <w:jc w:val="both"/>
        <w:rPr>
          <w:lang w:val="nb-NO"/>
        </w:rPr>
      </w:pPr>
      <w:r w:rsidRPr="001C1752">
        <w:rPr>
          <w:b/>
          <w:bCs/>
          <w:sz w:val="26"/>
          <w:szCs w:val="26"/>
          <w:lang w:val="nb-NO"/>
        </w:rPr>
        <w:t>IV</w:t>
      </w:r>
      <w:r w:rsidR="001D4D0B" w:rsidRPr="001C1752">
        <w:rPr>
          <w:b/>
          <w:bCs/>
          <w:sz w:val="26"/>
          <w:szCs w:val="26"/>
          <w:lang w:val="vi-VN"/>
        </w:rPr>
        <w:t>. NỘ</w:t>
      </w:r>
      <w:r w:rsidR="00724C35" w:rsidRPr="001C1752">
        <w:rPr>
          <w:b/>
          <w:bCs/>
          <w:sz w:val="26"/>
          <w:szCs w:val="26"/>
          <w:lang w:val="vi-VN"/>
        </w:rPr>
        <w:t xml:space="preserve">I  DUNG </w:t>
      </w:r>
      <w:r w:rsidR="001D4D0B" w:rsidRPr="001C1752">
        <w:rPr>
          <w:b/>
          <w:bCs/>
          <w:sz w:val="26"/>
          <w:szCs w:val="26"/>
          <w:lang w:val="vi-VN"/>
        </w:rPr>
        <w:t>CỦA DỰ THẢO LUẬT</w:t>
      </w:r>
    </w:p>
    <w:p w:rsidR="00AE52E6" w:rsidRPr="001C1752" w:rsidRDefault="00825394" w:rsidP="004E00BD">
      <w:pPr>
        <w:spacing w:before="120" w:after="120"/>
        <w:ind w:firstLine="720"/>
        <w:jc w:val="both"/>
        <w:rPr>
          <w:b/>
          <w:lang w:val="nb-NO"/>
        </w:rPr>
      </w:pPr>
      <w:r w:rsidRPr="001C1752">
        <w:rPr>
          <w:b/>
          <w:lang w:val="nb-NO"/>
        </w:rPr>
        <w:t>1</w:t>
      </w:r>
      <w:r w:rsidR="00AE52E6" w:rsidRPr="001C1752">
        <w:rPr>
          <w:b/>
          <w:lang w:val="nb-NO"/>
        </w:rPr>
        <w:t>. Về phạm vi điều chỉnh</w:t>
      </w:r>
    </w:p>
    <w:p w:rsidR="00AE52E6" w:rsidRPr="001C1752" w:rsidRDefault="00AE52E6" w:rsidP="004E00BD">
      <w:pPr>
        <w:spacing w:before="120" w:after="120"/>
        <w:ind w:firstLine="720"/>
        <w:jc w:val="both"/>
        <w:rPr>
          <w:lang w:val="nl-NL"/>
        </w:rPr>
      </w:pPr>
      <w:r w:rsidRPr="001C1752">
        <w:rPr>
          <w:lang w:val="nl-NL"/>
        </w:rPr>
        <w:t xml:space="preserve">Tại Điều 1 Luật thuế BVMT về phạm vi điều chỉnh </w:t>
      </w:r>
      <w:r w:rsidR="007D76C9" w:rsidRPr="001C1752">
        <w:rPr>
          <w:lang w:val="nl-NL"/>
        </w:rPr>
        <w:t>quy định</w:t>
      </w:r>
      <w:r w:rsidRPr="001C1752">
        <w:rPr>
          <w:lang w:val="nl-NL"/>
        </w:rPr>
        <w:t xml:space="preserve">: </w:t>
      </w:r>
      <w:r w:rsidRPr="001C1752">
        <w:rPr>
          <w:i/>
          <w:lang w:val="nl-NL"/>
        </w:rPr>
        <w:t>“Luật này quy định về đối tượng chịu thuế, đối tượng không chịu thuế, người nộp thuế, căn cứ tính thuế, khai thuế, tính thuế, nộp thuế và hoàn thuế bảo vệ môi trường”</w:t>
      </w:r>
      <w:r w:rsidRPr="001C1752">
        <w:rPr>
          <w:lang w:val="nl-NL"/>
        </w:rPr>
        <w:t>.</w:t>
      </w:r>
    </w:p>
    <w:p w:rsidR="006C3AEC" w:rsidRPr="001C1752" w:rsidRDefault="00AC7A30" w:rsidP="004E00BD">
      <w:pPr>
        <w:spacing w:before="120" w:after="120"/>
        <w:ind w:firstLine="720"/>
        <w:jc w:val="both"/>
        <w:rPr>
          <w:lang w:val="nl-NL"/>
        </w:rPr>
      </w:pPr>
      <w:r w:rsidRPr="001C1752">
        <w:rPr>
          <w:lang w:val="nl-NL"/>
        </w:rPr>
        <w:t>Tuy nh</w:t>
      </w:r>
      <w:r w:rsidR="006C3AEC" w:rsidRPr="001C1752">
        <w:rPr>
          <w:lang w:val="nl-NL"/>
        </w:rPr>
        <w:t xml:space="preserve">iên, tại </w:t>
      </w:r>
      <w:r w:rsidR="007D76C9" w:rsidRPr="001C1752">
        <w:rPr>
          <w:lang w:val="nl-NL"/>
        </w:rPr>
        <w:t>Luật còn</w:t>
      </w:r>
      <w:r w:rsidR="00EA24B4" w:rsidRPr="001C1752">
        <w:rPr>
          <w:lang w:val="nl-NL"/>
        </w:rPr>
        <w:t xml:space="preserve"> quy định </w:t>
      </w:r>
      <w:r w:rsidR="006C3AEC" w:rsidRPr="001C1752">
        <w:rPr>
          <w:lang w:val="nl-NL"/>
        </w:rPr>
        <w:t xml:space="preserve">thêm </w:t>
      </w:r>
      <w:r w:rsidR="00481EE3" w:rsidRPr="001C1752">
        <w:rPr>
          <w:lang w:val="nl-NL"/>
        </w:rPr>
        <w:t xml:space="preserve">các nội dung </w:t>
      </w:r>
      <w:r w:rsidR="00EA24B4" w:rsidRPr="001C1752">
        <w:rPr>
          <w:lang w:val="nl-NL"/>
        </w:rPr>
        <w:t xml:space="preserve">về phương pháp tính thuế, biểu khung thuế, thời điểm tính thuế, do đó, </w:t>
      </w:r>
      <w:r w:rsidR="00AE52E6" w:rsidRPr="001C1752">
        <w:rPr>
          <w:lang w:val="nl-NL"/>
        </w:rPr>
        <w:t xml:space="preserve">đề nghị bổ sung </w:t>
      </w:r>
      <w:r w:rsidR="003D73F7" w:rsidRPr="001C1752">
        <w:rPr>
          <w:lang w:val="nl-NL"/>
        </w:rPr>
        <w:t xml:space="preserve">vào </w:t>
      </w:r>
      <w:r w:rsidR="00AE52E6" w:rsidRPr="001C1752">
        <w:rPr>
          <w:lang w:val="nl-NL"/>
        </w:rPr>
        <w:t xml:space="preserve">Điều 1 Luật thuế BVMT </w:t>
      </w:r>
      <w:r w:rsidR="007D76C9" w:rsidRPr="001C1752">
        <w:rPr>
          <w:lang w:val="nl-NL"/>
        </w:rPr>
        <w:t xml:space="preserve">về phạm vi điều chỉnh </w:t>
      </w:r>
      <w:r w:rsidR="00481EE3" w:rsidRPr="001C1752">
        <w:rPr>
          <w:lang w:val="nl-NL"/>
        </w:rPr>
        <w:t>các nội dung</w:t>
      </w:r>
      <w:r w:rsidR="003D73F7" w:rsidRPr="001C1752">
        <w:rPr>
          <w:lang w:val="nl-NL"/>
        </w:rPr>
        <w:t xml:space="preserve">: </w:t>
      </w:r>
      <w:r w:rsidR="00AE52E6" w:rsidRPr="001C1752">
        <w:rPr>
          <w:i/>
          <w:lang w:val="nl-NL"/>
        </w:rPr>
        <w:t>phương pháp tính thuế, biểu khung thuế, thời điểm tính thuế</w:t>
      </w:r>
      <w:r w:rsidR="006C3AEC" w:rsidRPr="001C1752">
        <w:rPr>
          <w:i/>
          <w:lang w:val="nl-NL"/>
        </w:rPr>
        <w:t xml:space="preserve"> </w:t>
      </w:r>
      <w:r w:rsidR="006C3AEC" w:rsidRPr="001C1752">
        <w:rPr>
          <w:lang w:val="nl-NL"/>
        </w:rPr>
        <w:t>cho phù hợp.</w:t>
      </w:r>
    </w:p>
    <w:p w:rsidR="00C305B0" w:rsidRPr="001C1752" w:rsidRDefault="00C305B0" w:rsidP="004E00BD">
      <w:pPr>
        <w:spacing w:before="120" w:after="120"/>
        <w:ind w:firstLine="720"/>
        <w:jc w:val="both"/>
        <w:rPr>
          <w:i/>
          <w:lang w:val="nl-NL"/>
        </w:rPr>
      </w:pPr>
      <w:r w:rsidRPr="001C1752">
        <w:rPr>
          <w:lang w:val="nl-NL"/>
        </w:rPr>
        <w:t xml:space="preserve">(Nội dung này được </w:t>
      </w:r>
      <w:r w:rsidR="003361ED" w:rsidRPr="001C1752">
        <w:rPr>
          <w:lang w:val="nl-NL"/>
        </w:rPr>
        <w:t>thể hiện tại k</w:t>
      </w:r>
      <w:r w:rsidRPr="001C1752">
        <w:rPr>
          <w:lang w:val="nl-NL"/>
        </w:rPr>
        <w:t>hoản 1 Điều 1 dự thảo Luật)</w:t>
      </w:r>
    </w:p>
    <w:p w:rsidR="007457BE" w:rsidRPr="001C1752" w:rsidRDefault="00AE52E6" w:rsidP="004E00BD">
      <w:pPr>
        <w:spacing w:before="120" w:after="120"/>
        <w:ind w:firstLine="720"/>
        <w:jc w:val="both"/>
        <w:rPr>
          <w:b/>
          <w:bCs/>
          <w:lang w:val="nl-NL"/>
        </w:rPr>
      </w:pPr>
      <w:r w:rsidRPr="001C1752">
        <w:rPr>
          <w:b/>
          <w:lang w:val="nl-NL"/>
        </w:rPr>
        <w:t>2. V</w:t>
      </w:r>
      <w:r w:rsidR="006C4EAB" w:rsidRPr="001C1752">
        <w:rPr>
          <w:b/>
          <w:bCs/>
          <w:lang w:val="nl-NL"/>
        </w:rPr>
        <w:t>ề giải t</w:t>
      </w:r>
      <w:r w:rsidR="006F2738" w:rsidRPr="001C1752">
        <w:rPr>
          <w:b/>
          <w:bCs/>
          <w:lang w:val="nl-NL"/>
        </w:rPr>
        <w:t>h</w:t>
      </w:r>
      <w:r w:rsidR="006C4EAB" w:rsidRPr="001C1752">
        <w:rPr>
          <w:b/>
          <w:bCs/>
          <w:lang w:val="nl-NL"/>
        </w:rPr>
        <w:t>ích từ ngữ</w:t>
      </w:r>
    </w:p>
    <w:p w:rsidR="00AE52E6" w:rsidRPr="001C1752" w:rsidRDefault="00783622" w:rsidP="004E00BD">
      <w:pPr>
        <w:spacing w:before="120" w:after="120"/>
        <w:ind w:firstLine="720"/>
        <w:jc w:val="both"/>
        <w:rPr>
          <w:b/>
          <w:i/>
          <w:lang w:val="nl-NL"/>
        </w:rPr>
      </w:pPr>
      <w:r w:rsidRPr="001C1752">
        <w:rPr>
          <w:b/>
          <w:i/>
          <w:lang w:val="nl-NL"/>
        </w:rPr>
        <w:t>a) T</w:t>
      </w:r>
      <w:r w:rsidR="00AE52E6" w:rsidRPr="001C1752">
        <w:rPr>
          <w:b/>
          <w:i/>
          <w:lang w:val="nl-NL"/>
        </w:rPr>
        <w:t>úi ni lông thuộc diện chịu thuế</w:t>
      </w:r>
    </w:p>
    <w:p w:rsidR="00AE52E6" w:rsidRPr="001C1752" w:rsidRDefault="00AE52E6" w:rsidP="004E00BD">
      <w:pPr>
        <w:spacing w:before="120" w:after="120"/>
        <w:ind w:firstLine="720"/>
        <w:jc w:val="both"/>
        <w:rPr>
          <w:lang w:val="sv-SE"/>
        </w:rPr>
      </w:pPr>
      <w:r w:rsidRPr="001C1752">
        <w:rPr>
          <w:lang w:val="sv-SE"/>
        </w:rPr>
        <w:t xml:space="preserve">Tại khoản 3 Điều 2 Luật thuế BVMT </w:t>
      </w:r>
      <w:r w:rsidR="00892F0F" w:rsidRPr="001C1752">
        <w:rPr>
          <w:lang w:val="sv-SE"/>
        </w:rPr>
        <w:t xml:space="preserve">về </w:t>
      </w:r>
      <w:r w:rsidRPr="001C1752">
        <w:rPr>
          <w:lang w:val="sv-SE"/>
        </w:rPr>
        <w:t xml:space="preserve">giải thích từ ngữ </w:t>
      </w:r>
      <w:r w:rsidR="00103CE8" w:rsidRPr="001C1752">
        <w:rPr>
          <w:lang w:val="sv-SE"/>
        </w:rPr>
        <w:t>quy định</w:t>
      </w:r>
      <w:r w:rsidRPr="001C1752">
        <w:rPr>
          <w:lang w:val="sv-SE"/>
        </w:rPr>
        <w:t xml:space="preserve">: </w:t>
      </w:r>
      <w:r w:rsidRPr="001C1752">
        <w:rPr>
          <w:i/>
          <w:lang w:val="am-ET" w:eastAsia="vi-VN"/>
        </w:rPr>
        <w:t>“</w:t>
      </w:r>
      <w:r w:rsidRPr="001C1752">
        <w:rPr>
          <w:i/>
          <w:lang w:val="sv-SE"/>
        </w:rPr>
        <w:t>Túi ni lông thuộc diện chịu thuế là loại túi, bao bì được làm từ màng nhựa đơn polyetylen, tên kỹ thuật là túi nhựa xốp”</w:t>
      </w:r>
      <w:r w:rsidRPr="001C1752">
        <w:rPr>
          <w:lang w:val="sv-SE"/>
        </w:rPr>
        <w:t>.</w:t>
      </w:r>
    </w:p>
    <w:p w:rsidR="00AE52E6" w:rsidRPr="001C1752" w:rsidRDefault="00B21E4A" w:rsidP="004E00BD">
      <w:pPr>
        <w:spacing w:before="120" w:after="120"/>
        <w:ind w:firstLine="720"/>
        <w:jc w:val="both"/>
        <w:rPr>
          <w:iCs/>
          <w:lang w:val="sv-SE"/>
        </w:rPr>
      </w:pPr>
      <w:r w:rsidRPr="001C1752">
        <w:rPr>
          <w:lang w:val="sv-SE"/>
        </w:rPr>
        <w:t>T</w:t>
      </w:r>
      <w:r w:rsidR="00AE52E6" w:rsidRPr="001C1752">
        <w:rPr>
          <w:lang w:val="sv-SE"/>
        </w:rPr>
        <w:t>ại Nghị định số 69/2012/NĐ-CP ngày 14/9</w:t>
      </w:r>
      <w:r w:rsidR="00BD4BCC" w:rsidRPr="001C1752">
        <w:rPr>
          <w:lang w:val="sv-SE"/>
        </w:rPr>
        <w:t>/2012 của Chính phủ đã quy định</w:t>
      </w:r>
      <w:r w:rsidR="00103CE8" w:rsidRPr="001C1752">
        <w:rPr>
          <w:lang w:val="sv-SE"/>
        </w:rPr>
        <w:t xml:space="preserve"> </w:t>
      </w:r>
      <w:r w:rsidR="00AE52E6" w:rsidRPr="001C1752">
        <w:rPr>
          <w:lang w:val="sv-SE"/>
        </w:rPr>
        <w:t>tú</w:t>
      </w:r>
      <w:r w:rsidRPr="001C1752">
        <w:rPr>
          <w:lang w:val="sv-SE"/>
        </w:rPr>
        <w:t xml:space="preserve">i ni lông thuộc diện chịu thuế </w:t>
      </w:r>
      <w:r w:rsidR="00AE52E6" w:rsidRPr="001C1752">
        <w:rPr>
          <w:lang w:val="sv-SE"/>
        </w:rPr>
        <w:t xml:space="preserve">là loại túi, bao bì </w:t>
      </w:r>
      <w:r w:rsidR="00AE52E6" w:rsidRPr="001C1752">
        <w:rPr>
          <w:iCs/>
          <w:lang w:val="sv-SE"/>
        </w:rPr>
        <w:t>nhựa mỏng</w:t>
      </w:r>
      <w:r w:rsidR="00AE52E6" w:rsidRPr="001C1752">
        <w:rPr>
          <w:lang w:val="sv-SE"/>
        </w:rPr>
        <w:t xml:space="preserve"> </w:t>
      </w:r>
      <w:r w:rsidR="00AE52E6" w:rsidRPr="001C1752">
        <w:rPr>
          <w:iCs/>
          <w:lang w:val="sv-SE"/>
        </w:rPr>
        <w:t xml:space="preserve">có </w:t>
      </w:r>
      <w:r w:rsidR="00AE52E6" w:rsidRPr="001C1752">
        <w:rPr>
          <w:iCs/>
          <w:lang w:val="pl-PL"/>
        </w:rPr>
        <w:t xml:space="preserve">hình </w:t>
      </w:r>
      <w:r w:rsidR="00AE52E6" w:rsidRPr="001C1752">
        <w:rPr>
          <w:iCs/>
          <w:lang w:val="sv-SE"/>
        </w:rPr>
        <w:t>dạng túi - có miệng túi, có đáy túi, có thành túi v</w:t>
      </w:r>
      <w:r w:rsidRPr="001C1752">
        <w:rPr>
          <w:iCs/>
          <w:lang w:val="sv-SE"/>
        </w:rPr>
        <w:t>à có thể đựng sản phẩm trong đó</w:t>
      </w:r>
      <w:r w:rsidR="00AE52E6" w:rsidRPr="001C1752">
        <w:rPr>
          <w:iCs/>
          <w:lang w:val="sv-SE"/>
        </w:rPr>
        <w:t xml:space="preserve">; đồng thời </w:t>
      </w:r>
      <w:r w:rsidR="00AE52E6" w:rsidRPr="001C1752">
        <w:rPr>
          <w:lang w:val="sv-SE"/>
        </w:rPr>
        <w:t>quy định</w:t>
      </w:r>
      <w:r w:rsidR="00AE52E6" w:rsidRPr="001C1752">
        <w:rPr>
          <w:iCs/>
          <w:lang w:val="sv-SE"/>
        </w:rPr>
        <w:t xml:space="preserve"> bao bì đóng gói sẵn hàng hóa và túi ni lông đáp ứng tiêu chí thân thiện với môi trường theo quy định của Bộ Tài nguyên và Môi trường được loại trừ khi xác định là túi ni lông thuộc diện chịu thuế BVMT. </w:t>
      </w:r>
    </w:p>
    <w:p w:rsidR="00AE52E6" w:rsidRPr="001C1752" w:rsidRDefault="00AE52E6" w:rsidP="004E00BD">
      <w:pPr>
        <w:spacing w:before="120" w:after="120"/>
        <w:ind w:firstLine="720"/>
        <w:jc w:val="both"/>
        <w:rPr>
          <w:b/>
          <w:lang w:val="nb-NO" w:eastAsia="vi-VN"/>
        </w:rPr>
      </w:pPr>
      <w:r w:rsidRPr="001C1752">
        <w:rPr>
          <w:lang w:val="sv-SE"/>
        </w:rPr>
        <w:t>Để nâng cao tính pháp lý, đảm bảo rõ ràng về quy định túi ni lông thuộc đối tượng chịu thuế và đảm bảo đúng tên kỹ thuật của túi ni lông, đề nghị sửa</w:t>
      </w:r>
      <w:r w:rsidR="00857780" w:rsidRPr="001C1752">
        <w:rPr>
          <w:lang w:val="sv-SE"/>
        </w:rPr>
        <w:t xml:space="preserve"> đổi</w:t>
      </w:r>
      <w:r w:rsidR="00C44BB3" w:rsidRPr="001C1752">
        <w:rPr>
          <w:lang w:val="sv-SE"/>
        </w:rPr>
        <w:t>, bổ sung</w:t>
      </w:r>
      <w:r w:rsidRPr="001C1752">
        <w:rPr>
          <w:lang w:val="sv-SE"/>
        </w:rPr>
        <w:t xml:space="preserve"> </w:t>
      </w:r>
      <w:r w:rsidR="00892F0F" w:rsidRPr="001C1752">
        <w:rPr>
          <w:lang w:val="sv-SE"/>
        </w:rPr>
        <w:t xml:space="preserve">khoản 3 Điều 2 Luật thuế BVMT </w:t>
      </w:r>
      <w:r w:rsidRPr="001C1752">
        <w:rPr>
          <w:lang w:val="nb-NO" w:eastAsia="vi-VN"/>
        </w:rPr>
        <w:t xml:space="preserve">về giải thích từ ngữ như sau: </w:t>
      </w:r>
      <w:r w:rsidRPr="001C1752">
        <w:rPr>
          <w:lang w:val="am-ET" w:eastAsia="vi-VN"/>
        </w:rPr>
        <w:t>“</w:t>
      </w:r>
      <w:r w:rsidRPr="001C1752">
        <w:rPr>
          <w:lang w:val="nb-NO" w:eastAsia="vi-VN"/>
        </w:rPr>
        <w:t xml:space="preserve">Túi ni lông thuộc diện chịu thuế là loại túi, bao bì được làm từ màng nhựa đơn polyetylen, </w:t>
      </w:r>
      <w:r w:rsidRPr="001C1752">
        <w:rPr>
          <w:strike/>
          <w:lang w:val="nb-NO" w:eastAsia="vi-VN"/>
        </w:rPr>
        <w:t>tên kỹ thuật là túi nhựa xốp,</w:t>
      </w:r>
      <w:r w:rsidRPr="001C1752">
        <w:rPr>
          <w:lang w:val="nb-NO" w:eastAsia="vi-VN"/>
        </w:rPr>
        <w:t xml:space="preserve"> </w:t>
      </w:r>
      <w:r w:rsidRPr="001C1752">
        <w:rPr>
          <w:i/>
          <w:lang w:val="nb-NO" w:eastAsia="vi-VN"/>
        </w:rPr>
        <w:t xml:space="preserve">có hình dạng túi (có miệng túi, có đáy túi, có thành túi và có thể đựng sản phẩm trong đó), trừ </w:t>
      </w:r>
      <w:r w:rsidR="002C0A97" w:rsidRPr="001C1752">
        <w:rPr>
          <w:i/>
          <w:lang w:val="nb-NO" w:eastAsia="vi-VN"/>
        </w:rPr>
        <w:t xml:space="preserve">túi, </w:t>
      </w:r>
      <w:r w:rsidRPr="001C1752">
        <w:rPr>
          <w:i/>
          <w:lang w:val="nb-NO" w:eastAsia="vi-VN"/>
        </w:rPr>
        <w:t xml:space="preserve">bao bì </w:t>
      </w:r>
      <w:r w:rsidR="002C0A97" w:rsidRPr="001C1752">
        <w:rPr>
          <w:i/>
          <w:lang w:val="nb-NO" w:eastAsia="vi-VN"/>
        </w:rPr>
        <w:t xml:space="preserve">đã </w:t>
      </w:r>
      <w:r w:rsidRPr="001C1752">
        <w:rPr>
          <w:i/>
          <w:lang w:val="nb-NO" w:eastAsia="vi-VN"/>
        </w:rPr>
        <w:t>đóng gói sẵn hàng hóa và túi ni lông đáp ứng tiêu chí thân thiện với môi trường theo quy định của Bộ Tài nguyên và Môi trường”</w:t>
      </w:r>
      <w:r w:rsidR="00892F0F" w:rsidRPr="001C1752">
        <w:rPr>
          <w:i/>
          <w:lang w:val="nb-NO" w:eastAsia="vi-VN"/>
        </w:rPr>
        <w:t>.</w:t>
      </w:r>
    </w:p>
    <w:p w:rsidR="00892F0F" w:rsidRPr="001C1752" w:rsidRDefault="00892F0F" w:rsidP="004E00BD">
      <w:pPr>
        <w:spacing w:before="120" w:after="120"/>
        <w:ind w:firstLine="720"/>
        <w:jc w:val="both"/>
        <w:rPr>
          <w:b/>
          <w:i/>
          <w:lang w:val="nb-NO" w:eastAsia="vi-VN"/>
        </w:rPr>
      </w:pPr>
      <w:r w:rsidRPr="001C1752">
        <w:rPr>
          <w:lang w:val="nb-NO" w:eastAsia="vi-VN"/>
        </w:rPr>
        <w:lastRenderedPageBreak/>
        <w:t>(</w:t>
      </w:r>
      <w:r w:rsidR="00CA7C0B" w:rsidRPr="001C1752">
        <w:rPr>
          <w:lang w:val="nb-NO" w:eastAsia="vi-VN"/>
        </w:rPr>
        <w:t xml:space="preserve">Nội dung này </w:t>
      </w:r>
      <w:r w:rsidRPr="001C1752">
        <w:rPr>
          <w:lang w:val="nb-NO" w:eastAsia="vi-VN"/>
        </w:rPr>
        <w:t>thể hiện tại</w:t>
      </w:r>
      <w:r w:rsidR="003361ED" w:rsidRPr="001C1752">
        <w:rPr>
          <w:lang w:val="nb-NO" w:eastAsia="vi-VN"/>
        </w:rPr>
        <w:t xml:space="preserve"> k</w:t>
      </w:r>
      <w:r w:rsidRPr="001C1752">
        <w:rPr>
          <w:lang w:val="nb-NO" w:eastAsia="vi-VN"/>
        </w:rPr>
        <w:t xml:space="preserve">hoản 2 </w:t>
      </w:r>
      <w:r w:rsidR="00D329DB" w:rsidRPr="001C1752">
        <w:rPr>
          <w:lang w:val="nb-NO" w:eastAsia="vi-VN"/>
        </w:rPr>
        <w:t xml:space="preserve">Điều 1 </w:t>
      </w:r>
      <w:r w:rsidRPr="001C1752">
        <w:rPr>
          <w:lang w:val="nb-NO" w:eastAsia="vi-VN"/>
        </w:rPr>
        <w:t>dự thảo Luật)</w:t>
      </w:r>
    </w:p>
    <w:p w:rsidR="00AE52E6" w:rsidRPr="001C1752" w:rsidRDefault="00783622" w:rsidP="004E00BD">
      <w:pPr>
        <w:spacing w:before="120" w:after="120"/>
        <w:ind w:firstLine="720"/>
        <w:jc w:val="both"/>
        <w:rPr>
          <w:b/>
          <w:i/>
          <w:lang w:val="nl-NL"/>
        </w:rPr>
      </w:pPr>
      <w:r w:rsidRPr="001C1752">
        <w:rPr>
          <w:b/>
          <w:i/>
          <w:lang w:val="nl-NL"/>
        </w:rPr>
        <w:t>b) D</w:t>
      </w:r>
      <w:r w:rsidR="00AE52E6" w:rsidRPr="001C1752">
        <w:rPr>
          <w:b/>
          <w:i/>
          <w:lang w:val="nl-NL"/>
        </w:rPr>
        <w:t>ung dịch hydro-choloro-flouro-carbon (HCFC)</w:t>
      </w:r>
    </w:p>
    <w:p w:rsidR="0009118F" w:rsidRPr="001C1752" w:rsidRDefault="00AE52E6" w:rsidP="004E00BD">
      <w:pPr>
        <w:spacing w:before="120" w:after="120"/>
        <w:ind w:firstLine="720"/>
        <w:jc w:val="both"/>
        <w:rPr>
          <w:i/>
          <w:lang w:val="nl-NL"/>
        </w:rPr>
      </w:pPr>
      <w:r w:rsidRPr="001C1752">
        <w:rPr>
          <w:lang w:val="nl-NL"/>
        </w:rPr>
        <w:t>Tại</w:t>
      </w:r>
      <w:r w:rsidR="00961920" w:rsidRPr="001C1752">
        <w:rPr>
          <w:lang w:val="nl-NL"/>
        </w:rPr>
        <w:t xml:space="preserve"> k</w:t>
      </w:r>
      <w:r w:rsidRPr="001C1752">
        <w:rPr>
          <w:lang w:val="nl-NL"/>
        </w:rPr>
        <w:t>hoản 4 Điều 2 Luật thuế BVMT về</w:t>
      </w:r>
      <w:r w:rsidR="00542CD1" w:rsidRPr="001C1752">
        <w:rPr>
          <w:lang w:val="nl-NL"/>
        </w:rPr>
        <w:t xml:space="preserve"> giải thích từ ngữ </w:t>
      </w:r>
      <w:r w:rsidR="00F8435F" w:rsidRPr="001C1752">
        <w:rPr>
          <w:lang w:val="nl-NL"/>
        </w:rPr>
        <w:t>quy định</w:t>
      </w:r>
      <w:r w:rsidR="00542CD1" w:rsidRPr="001C1752">
        <w:rPr>
          <w:lang w:val="nl-NL"/>
        </w:rPr>
        <w:t xml:space="preserve">: </w:t>
      </w:r>
      <w:r w:rsidRPr="001C1752">
        <w:rPr>
          <w:i/>
          <w:lang w:val="nl-NL"/>
        </w:rPr>
        <w:t>“Dung dịch hydro-choloro-flouro-carbon (HCFC) là nhóm chất gây suy giảm tầng ô dôn dùng làm môi chất làm lạnh”.</w:t>
      </w:r>
    </w:p>
    <w:p w:rsidR="00AE52E6" w:rsidRPr="001C1752" w:rsidRDefault="008675C1" w:rsidP="004E00BD">
      <w:pPr>
        <w:spacing w:before="120" w:after="120"/>
        <w:ind w:firstLine="720"/>
        <w:jc w:val="both"/>
        <w:rPr>
          <w:i/>
          <w:lang w:val="nl-NL"/>
        </w:rPr>
      </w:pPr>
      <w:r w:rsidRPr="001C1752">
        <w:rPr>
          <w:lang w:val="nl-NL"/>
        </w:rPr>
        <w:t xml:space="preserve">Trên thực tế, ngoài dung dịch HCFC sử dụng làm môi chất lạnh, còn tồn tại dung dịch HCFC dưới dạng chất hỗn hợp chứa HCFC được sử dụng vào các mục đích khác </w:t>
      </w:r>
      <w:r w:rsidR="00F8435F" w:rsidRPr="001C1752">
        <w:rPr>
          <w:lang w:val="nl-NL"/>
        </w:rPr>
        <w:t>(</w:t>
      </w:r>
      <w:r w:rsidRPr="001C1752">
        <w:rPr>
          <w:lang w:val="nl-NL"/>
        </w:rPr>
        <w:t>như chất Pol</w:t>
      </w:r>
      <w:r w:rsidR="007247CB" w:rsidRPr="001C1752">
        <w:rPr>
          <w:lang w:val="nl-NL"/>
        </w:rPr>
        <w:t xml:space="preserve">yol có trộn sẵn chất HCFC-141b </w:t>
      </w:r>
      <w:r w:rsidRPr="001C1752">
        <w:rPr>
          <w:lang w:val="nl-NL"/>
        </w:rPr>
        <w:t xml:space="preserve">sử dụng để sản xuất tấm cách âm, cách </w:t>
      </w:r>
      <w:r w:rsidR="00A379D8" w:rsidRPr="001C1752">
        <w:rPr>
          <w:lang w:val="nl-NL"/>
        </w:rPr>
        <w:t>nhiệt</w:t>
      </w:r>
      <w:r w:rsidR="00F8435F" w:rsidRPr="001C1752">
        <w:rPr>
          <w:lang w:val="nl-NL"/>
        </w:rPr>
        <w:t>)</w:t>
      </w:r>
      <w:r w:rsidR="00A379D8" w:rsidRPr="001C1752">
        <w:rPr>
          <w:lang w:val="nl-NL"/>
        </w:rPr>
        <w:t xml:space="preserve">. </w:t>
      </w:r>
      <w:r w:rsidR="0009118F" w:rsidRPr="001C1752">
        <w:rPr>
          <w:lang w:val="nl-NL"/>
        </w:rPr>
        <w:t>Vì vậy</w:t>
      </w:r>
      <w:r w:rsidR="00A60119" w:rsidRPr="001C1752">
        <w:rPr>
          <w:lang w:val="nl-NL"/>
        </w:rPr>
        <w:t xml:space="preserve">, để bao quát các trường hợp phát sinh trên thực tế, đề nghị </w:t>
      </w:r>
      <w:r w:rsidR="007247CB" w:rsidRPr="001C1752">
        <w:rPr>
          <w:lang w:val="nl-NL"/>
        </w:rPr>
        <w:t>bỏ cụm từ “</w:t>
      </w:r>
      <w:r w:rsidR="007247CB" w:rsidRPr="001C1752">
        <w:rPr>
          <w:i/>
          <w:lang w:val="nl-NL"/>
        </w:rPr>
        <w:t>dùng làm môi chất làm lạnh</w:t>
      </w:r>
      <w:r w:rsidR="00D14F39" w:rsidRPr="001C1752">
        <w:rPr>
          <w:i/>
          <w:lang w:val="nl-NL"/>
        </w:rPr>
        <w:t>”</w:t>
      </w:r>
      <w:r w:rsidR="007247CB" w:rsidRPr="001C1752">
        <w:rPr>
          <w:i/>
          <w:lang w:val="nl-NL"/>
        </w:rPr>
        <w:t xml:space="preserve"> </w:t>
      </w:r>
      <w:r w:rsidR="007247CB" w:rsidRPr="001C1752">
        <w:rPr>
          <w:lang w:val="nl-NL"/>
        </w:rPr>
        <w:t xml:space="preserve">tại </w:t>
      </w:r>
      <w:r w:rsidR="00961920" w:rsidRPr="001C1752">
        <w:rPr>
          <w:lang w:val="nl-NL"/>
        </w:rPr>
        <w:t>k</w:t>
      </w:r>
      <w:r w:rsidR="00A60119" w:rsidRPr="001C1752">
        <w:rPr>
          <w:lang w:val="nl-NL"/>
        </w:rPr>
        <w:t>hoản 4 Điều 2 Luật thuế BVMT</w:t>
      </w:r>
      <w:r w:rsidR="00656D87" w:rsidRPr="001C1752">
        <w:rPr>
          <w:lang w:val="nl-NL"/>
        </w:rPr>
        <w:t xml:space="preserve"> nêu trên</w:t>
      </w:r>
      <w:r w:rsidR="007247CB" w:rsidRPr="001C1752">
        <w:rPr>
          <w:lang w:val="nl-NL"/>
        </w:rPr>
        <w:t>.</w:t>
      </w:r>
    </w:p>
    <w:p w:rsidR="00DB0350" w:rsidRPr="001C1752" w:rsidRDefault="00DB0350" w:rsidP="004E00BD">
      <w:pPr>
        <w:spacing w:before="120" w:after="120"/>
        <w:ind w:firstLine="720"/>
        <w:jc w:val="both"/>
        <w:rPr>
          <w:b/>
          <w:i/>
          <w:lang w:val="nb-NO" w:eastAsia="vi-VN"/>
        </w:rPr>
      </w:pPr>
      <w:r w:rsidRPr="001C1752">
        <w:rPr>
          <w:lang w:val="nb-NO" w:eastAsia="vi-VN"/>
        </w:rPr>
        <w:t>(Nội dung này thể hiện tại</w:t>
      </w:r>
      <w:r w:rsidR="003361ED" w:rsidRPr="001C1752">
        <w:rPr>
          <w:lang w:val="nb-NO" w:eastAsia="vi-VN"/>
        </w:rPr>
        <w:t xml:space="preserve"> k</w:t>
      </w:r>
      <w:r w:rsidRPr="001C1752">
        <w:rPr>
          <w:lang w:val="nb-NO" w:eastAsia="vi-VN"/>
        </w:rPr>
        <w:t>hoản 2 Điều 1 dự thảo Luật)</w:t>
      </w:r>
    </w:p>
    <w:p w:rsidR="00AE52E6" w:rsidRPr="001C1752" w:rsidRDefault="00A60119" w:rsidP="004E00BD">
      <w:pPr>
        <w:spacing w:before="120" w:after="120"/>
        <w:ind w:firstLine="720"/>
        <w:jc w:val="both"/>
        <w:rPr>
          <w:b/>
          <w:lang w:val="nl-NL" w:eastAsia="vi-VN"/>
        </w:rPr>
      </w:pPr>
      <w:r w:rsidRPr="001C1752">
        <w:rPr>
          <w:b/>
          <w:lang w:val="nl-NL" w:eastAsia="vi-VN"/>
        </w:rPr>
        <w:t>3. Về đối tượng chịu thuế</w:t>
      </w:r>
    </w:p>
    <w:p w:rsidR="00A60119" w:rsidRPr="001C1752" w:rsidRDefault="00BA74E0" w:rsidP="004E00BD">
      <w:pPr>
        <w:spacing w:before="120" w:after="120"/>
        <w:ind w:firstLine="720"/>
        <w:jc w:val="both"/>
        <w:rPr>
          <w:lang w:val="nb-NO"/>
        </w:rPr>
      </w:pPr>
      <w:r w:rsidRPr="001C1752">
        <w:rPr>
          <w:rStyle w:val="apple-converted-space"/>
          <w:lang w:val="nb-NO"/>
        </w:rPr>
        <w:t xml:space="preserve">- </w:t>
      </w:r>
      <w:r w:rsidR="00A60119" w:rsidRPr="001C1752">
        <w:rPr>
          <w:rStyle w:val="apple-converted-space"/>
          <w:lang w:val="nb-NO"/>
        </w:rPr>
        <w:t>Tại khoản 3 Điều 3 Luật thuế BVMT quy định</w:t>
      </w:r>
      <w:r w:rsidR="008413AA" w:rsidRPr="001C1752">
        <w:rPr>
          <w:rStyle w:val="apple-converted-space"/>
          <w:lang w:val="nb-NO"/>
        </w:rPr>
        <w:t>:</w:t>
      </w:r>
      <w:r w:rsidR="006F2738" w:rsidRPr="001C1752">
        <w:rPr>
          <w:rStyle w:val="apple-converted-space"/>
          <w:lang w:val="nb-NO"/>
        </w:rPr>
        <w:t xml:space="preserve"> </w:t>
      </w:r>
      <w:r w:rsidR="00A60119" w:rsidRPr="001C1752">
        <w:rPr>
          <w:rStyle w:val="apple-converted-space"/>
          <w:i/>
          <w:lang w:val="nb-NO"/>
        </w:rPr>
        <w:t>“</w:t>
      </w:r>
      <w:r w:rsidR="00A60119" w:rsidRPr="001C1752">
        <w:rPr>
          <w:i/>
          <w:lang w:val="nb-NO"/>
        </w:rPr>
        <w:t>Dung dịch hydro-chloro-fluoro-carbon (HCFC)”</w:t>
      </w:r>
      <w:r w:rsidR="006F2738" w:rsidRPr="001C1752">
        <w:rPr>
          <w:i/>
          <w:lang w:val="nb-NO"/>
        </w:rPr>
        <w:t xml:space="preserve"> </w:t>
      </w:r>
      <w:r w:rsidR="006F2738" w:rsidRPr="001C1752">
        <w:rPr>
          <w:lang w:val="nb-NO"/>
        </w:rPr>
        <w:t>thuộc đối tượng chịu thuế BVMT</w:t>
      </w:r>
      <w:r w:rsidR="00A60119" w:rsidRPr="001C1752">
        <w:rPr>
          <w:lang w:val="nb-NO"/>
        </w:rPr>
        <w:t>.</w:t>
      </w:r>
    </w:p>
    <w:p w:rsidR="00A60119" w:rsidRPr="001C1752" w:rsidRDefault="006F2738" w:rsidP="004E00BD">
      <w:pPr>
        <w:spacing w:before="120" w:after="120"/>
        <w:ind w:firstLine="720"/>
        <w:jc w:val="both"/>
        <w:rPr>
          <w:i/>
          <w:lang w:val="nl-NL"/>
        </w:rPr>
      </w:pPr>
      <w:r w:rsidRPr="001C1752">
        <w:rPr>
          <w:lang w:val="nl-NL"/>
        </w:rPr>
        <w:t xml:space="preserve">Như đã báo cáo </w:t>
      </w:r>
      <w:r w:rsidR="008675C1" w:rsidRPr="001C1752">
        <w:rPr>
          <w:lang w:val="nl-NL"/>
        </w:rPr>
        <w:t xml:space="preserve">nêu trên, </w:t>
      </w:r>
      <w:r w:rsidR="00086F45" w:rsidRPr="001C1752">
        <w:rPr>
          <w:lang w:val="nl-NL"/>
        </w:rPr>
        <w:t>đ</w:t>
      </w:r>
      <w:r w:rsidR="00A60119" w:rsidRPr="001C1752">
        <w:rPr>
          <w:lang w:val="nl-NL"/>
        </w:rPr>
        <w:t xml:space="preserve">ể đảm bảo cơ sở pháp lý chặt chẽ về thu thuế BVMT đối với dung dịch HCFC dưới dạng chất hỗn hợp, đề nghị </w:t>
      </w:r>
      <w:r w:rsidR="00086F45" w:rsidRPr="001C1752">
        <w:rPr>
          <w:lang w:val="nb-NO" w:eastAsia="vi-VN"/>
        </w:rPr>
        <w:t xml:space="preserve">bổ sung nội dung </w:t>
      </w:r>
      <w:r w:rsidR="00086F45" w:rsidRPr="001C1752">
        <w:rPr>
          <w:i/>
          <w:lang w:val="nl-NL"/>
        </w:rPr>
        <w:t xml:space="preserve">“bao gồm cả dung dịch HCFC có trong chất hỗn hợp chứa dung dịch HCFC” </w:t>
      </w:r>
      <w:r w:rsidR="00086F45" w:rsidRPr="001C1752">
        <w:rPr>
          <w:lang w:val="nl-NL"/>
        </w:rPr>
        <w:t>vào</w:t>
      </w:r>
      <w:r w:rsidR="00086F45" w:rsidRPr="001C1752">
        <w:rPr>
          <w:i/>
          <w:lang w:val="nl-NL"/>
        </w:rPr>
        <w:t xml:space="preserve"> </w:t>
      </w:r>
      <w:r w:rsidR="00A60119" w:rsidRPr="001C1752">
        <w:rPr>
          <w:lang w:val="nl-NL"/>
        </w:rPr>
        <w:t>khoản 3 Điều 3 Luật thuế BVMT</w:t>
      </w:r>
      <w:r w:rsidR="00A60119" w:rsidRPr="001C1752">
        <w:rPr>
          <w:i/>
          <w:lang w:val="nl-NL"/>
        </w:rPr>
        <w:t>.</w:t>
      </w:r>
    </w:p>
    <w:p w:rsidR="00A26D6E" w:rsidRPr="001C1752" w:rsidRDefault="00A26D6E" w:rsidP="004E00BD">
      <w:pPr>
        <w:spacing w:before="120" w:after="120"/>
        <w:ind w:firstLine="720"/>
        <w:jc w:val="both"/>
        <w:rPr>
          <w:lang w:val="nb-NO" w:eastAsia="vi-VN"/>
        </w:rPr>
      </w:pPr>
      <w:r w:rsidRPr="001C1752">
        <w:rPr>
          <w:lang w:val="nb-NO" w:eastAsia="vi-VN"/>
        </w:rPr>
        <w:t xml:space="preserve">(Nội dung này thể hiện tại </w:t>
      </w:r>
      <w:r w:rsidR="003361ED" w:rsidRPr="001C1752">
        <w:rPr>
          <w:lang w:val="nb-NO" w:eastAsia="vi-VN"/>
        </w:rPr>
        <w:t>k</w:t>
      </w:r>
      <w:r w:rsidRPr="001C1752">
        <w:rPr>
          <w:lang w:val="nb-NO" w:eastAsia="vi-VN"/>
        </w:rPr>
        <w:t>hoản 3 Điều 1 dự thảo Luật)</w:t>
      </w:r>
    </w:p>
    <w:p w:rsidR="00A379D8" w:rsidRPr="001C1752" w:rsidRDefault="00BA74E0" w:rsidP="004E00BD">
      <w:pPr>
        <w:spacing w:before="120" w:after="120"/>
        <w:ind w:firstLine="720"/>
        <w:jc w:val="both"/>
        <w:rPr>
          <w:lang w:val="nb-NO" w:eastAsia="vi-VN"/>
        </w:rPr>
      </w:pPr>
      <w:r w:rsidRPr="001C1752">
        <w:rPr>
          <w:lang w:val="nb-NO" w:eastAsia="vi-VN"/>
        </w:rPr>
        <w:t xml:space="preserve">- </w:t>
      </w:r>
      <w:r w:rsidR="00D14F39" w:rsidRPr="001C1752">
        <w:rPr>
          <w:lang w:val="nb-NO" w:eastAsia="vi-VN"/>
        </w:rPr>
        <w:t>T</w:t>
      </w:r>
      <w:r w:rsidRPr="001C1752">
        <w:rPr>
          <w:lang w:val="nb-NO" w:eastAsia="vi-VN"/>
        </w:rPr>
        <w:t xml:space="preserve">rong quá trình </w:t>
      </w:r>
      <w:r w:rsidR="009C4D10" w:rsidRPr="001C1752">
        <w:rPr>
          <w:lang w:val="nb-NO" w:eastAsia="vi-VN"/>
        </w:rPr>
        <w:t xml:space="preserve">thảo luận </w:t>
      </w:r>
      <w:r w:rsidRPr="001C1752">
        <w:rPr>
          <w:lang w:val="nb-NO" w:eastAsia="vi-VN"/>
        </w:rPr>
        <w:t>xây dựng d</w:t>
      </w:r>
      <w:r w:rsidR="00337F74" w:rsidRPr="001C1752">
        <w:rPr>
          <w:lang w:val="nb-NO" w:eastAsia="vi-VN"/>
        </w:rPr>
        <w:t xml:space="preserve">ự án Luật, có ý kiến đề nghị </w:t>
      </w:r>
      <w:r w:rsidRPr="001C1752">
        <w:rPr>
          <w:lang w:val="nb-NO" w:eastAsia="vi-VN"/>
        </w:rPr>
        <w:t xml:space="preserve">rà soát </w:t>
      </w:r>
      <w:r w:rsidR="00337F74" w:rsidRPr="001C1752">
        <w:rPr>
          <w:lang w:val="nb-NO" w:eastAsia="vi-VN"/>
        </w:rPr>
        <w:t xml:space="preserve">bổ sung </w:t>
      </w:r>
      <w:r w:rsidRPr="001C1752">
        <w:rPr>
          <w:lang w:val="nb-NO" w:eastAsia="vi-VN"/>
        </w:rPr>
        <w:t>các hàng hóa khác khi sử dụng cũng gây ô nhiễm môi trường vào đối tượng chịu thuế như ắc quy, máy tính, chất tẩy rửa công nghiệp...</w:t>
      </w:r>
    </w:p>
    <w:p w:rsidR="00BA74E0" w:rsidRPr="001C1752" w:rsidRDefault="00BA74E0" w:rsidP="004E00BD">
      <w:pPr>
        <w:spacing w:before="120" w:after="120"/>
        <w:ind w:firstLine="720"/>
        <w:jc w:val="both"/>
        <w:rPr>
          <w:lang w:val="nb-NO" w:eastAsia="vi-VN"/>
        </w:rPr>
      </w:pPr>
      <w:r w:rsidRPr="001C1752">
        <w:rPr>
          <w:lang w:val="nb-NO" w:eastAsia="vi-VN"/>
        </w:rPr>
        <w:t>Về vấn đề này, Bộ Tài chính có ý kiến như sau:</w:t>
      </w:r>
    </w:p>
    <w:p w:rsidR="00783622" w:rsidRPr="001C1752" w:rsidRDefault="00783622" w:rsidP="004E00BD">
      <w:pPr>
        <w:spacing w:before="120" w:after="120"/>
        <w:ind w:firstLine="720"/>
        <w:jc w:val="both"/>
        <w:rPr>
          <w:b/>
          <w:i/>
          <w:lang w:val="nb-NO" w:eastAsia="vi-VN"/>
        </w:rPr>
      </w:pPr>
      <w:r w:rsidRPr="001C1752">
        <w:rPr>
          <w:lang w:val="nl-NL"/>
        </w:rPr>
        <w:t xml:space="preserve">Qua rà soát, trên thực tế có nhiều loại hàng hóa khi sử dụng gây ô nhiễm với các mức độ khác nhau (như </w:t>
      </w:r>
      <w:r w:rsidR="006C3D59" w:rsidRPr="001C1752">
        <w:rPr>
          <w:lang w:val="nl-NL"/>
        </w:rPr>
        <w:t xml:space="preserve">dầu thô, ắc quy, </w:t>
      </w:r>
      <w:r w:rsidR="00350215" w:rsidRPr="001C1752">
        <w:rPr>
          <w:lang w:val="nl-NL"/>
        </w:rPr>
        <w:t xml:space="preserve">máy tính, </w:t>
      </w:r>
      <w:r w:rsidR="006C3D59" w:rsidRPr="001C1752">
        <w:rPr>
          <w:lang w:val="nl-NL"/>
        </w:rPr>
        <w:t>lốp xe, hóa chất tẩy rửa</w:t>
      </w:r>
      <w:r w:rsidR="00B21E4A" w:rsidRPr="001C1752">
        <w:rPr>
          <w:lang w:val="nl-NL"/>
        </w:rPr>
        <w:t xml:space="preserve"> công nghiệp</w:t>
      </w:r>
      <w:r w:rsidR="006C3D59" w:rsidRPr="001C1752">
        <w:rPr>
          <w:lang w:val="nl-NL"/>
        </w:rPr>
        <w:t xml:space="preserve">, phân bón hóa học...). Tuy nhiên, </w:t>
      </w:r>
      <w:r w:rsidRPr="001C1752">
        <w:rPr>
          <w:lang w:val="nl-NL"/>
        </w:rPr>
        <w:t xml:space="preserve">việc lựa chọn </w:t>
      </w:r>
      <w:r w:rsidR="001663EA" w:rsidRPr="001C1752">
        <w:rPr>
          <w:lang w:val="nl-NL"/>
        </w:rPr>
        <w:t>thêm</w:t>
      </w:r>
      <w:r w:rsidRPr="001C1752">
        <w:rPr>
          <w:lang w:val="nl-NL"/>
        </w:rPr>
        <w:t xml:space="preserve"> hàng hóa </w:t>
      </w:r>
      <w:r w:rsidR="001663EA" w:rsidRPr="001C1752">
        <w:rPr>
          <w:lang w:val="nl-NL"/>
        </w:rPr>
        <w:t xml:space="preserve">khi sử dụng </w:t>
      </w:r>
      <w:r w:rsidRPr="001C1752">
        <w:rPr>
          <w:lang w:val="nl-NL"/>
        </w:rPr>
        <w:t xml:space="preserve">gây ô nhiễm môi trường để </w:t>
      </w:r>
      <w:r w:rsidR="00BC48E0" w:rsidRPr="001C1752">
        <w:rPr>
          <w:lang w:val="nl-NL"/>
        </w:rPr>
        <w:t>bổ sung</w:t>
      </w:r>
      <w:r w:rsidRPr="001C1752">
        <w:rPr>
          <w:lang w:val="nl-NL"/>
        </w:rPr>
        <w:t xml:space="preserve"> vào đối tượng chịu thuế BVMT </w:t>
      </w:r>
      <w:r w:rsidR="001663EA" w:rsidRPr="001C1752">
        <w:rPr>
          <w:lang w:val="nl-NL"/>
        </w:rPr>
        <w:t xml:space="preserve">cần </w:t>
      </w:r>
      <w:r w:rsidRPr="001C1752">
        <w:rPr>
          <w:lang w:val="nl-NL"/>
        </w:rPr>
        <w:t>phải đáp ứng các nguyên tắc sau: (i) phải là những hàng hóa được sản xuất, nhập khẩu mà khi sử dụng gây tác động xấu đến môi trường; (ii) phù hợp với các cam kết quốc tế mà Việt Nam tham gia và phù hợp với thông lệ quốc tế; (iii) đảm bảo tính khả thi, không tác động đến năng lực cạnh tranh của hàng Việt Nam, đặc biệt là hàng xuất khẩu.</w:t>
      </w:r>
      <w:r w:rsidR="006C3D59" w:rsidRPr="001C1752">
        <w:rPr>
          <w:lang w:val="nl-NL"/>
        </w:rPr>
        <w:t xml:space="preserve"> </w:t>
      </w:r>
      <w:r w:rsidR="00F20807" w:rsidRPr="001C1752">
        <w:rPr>
          <w:lang w:val="nl-NL"/>
        </w:rPr>
        <w:t xml:space="preserve">Qua nghiên cứu cho thấy, </w:t>
      </w:r>
      <w:r w:rsidRPr="001C1752">
        <w:rPr>
          <w:lang w:val="nl-NL"/>
        </w:rPr>
        <w:t>việc</w:t>
      </w:r>
      <w:r w:rsidR="00453E23" w:rsidRPr="001C1752">
        <w:rPr>
          <w:lang w:val="nl-NL"/>
        </w:rPr>
        <w:t xml:space="preserve"> </w:t>
      </w:r>
      <w:r w:rsidRPr="001C1752">
        <w:rPr>
          <w:lang w:val="nl-NL"/>
        </w:rPr>
        <w:t xml:space="preserve">bổ sung </w:t>
      </w:r>
      <w:r w:rsidR="006C3D59" w:rsidRPr="001C1752">
        <w:rPr>
          <w:lang w:val="nl-NL"/>
        </w:rPr>
        <w:t xml:space="preserve">một số </w:t>
      </w:r>
      <w:r w:rsidR="001663EA" w:rsidRPr="001C1752">
        <w:rPr>
          <w:lang w:val="nl-NL"/>
        </w:rPr>
        <w:t>hàng hóa</w:t>
      </w:r>
      <w:r w:rsidR="006C3D59" w:rsidRPr="001C1752">
        <w:rPr>
          <w:lang w:val="nl-NL"/>
        </w:rPr>
        <w:t xml:space="preserve"> như nêu trên vào đối tượng</w:t>
      </w:r>
      <w:r w:rsidRPr="001C1752">
        <w:rPr>
          <w:lang w:val="nl-NL"/>
        </w:rPr>
        <w:t xml:space="preserve"> tượng chịu thuế BVMT </w:t>
      </w:r>
      <w:r w:rsidR="006C3D59" w:rsidRPr="001C1752">
        <w:rPr>
          <w:lang w:val="nl-NL"/>
        </w:rPr>
        <w:t xml:space="preserve">trong bối cảnh hiện nay là chưa phù hợp </w:t>
      </w:r>
      <w:r w:rsidR="00453E23" w:rsidRPr="001C1752">
        <w:rPr>
          <w:lang w:val="nl-NL"/>
        </w:rPr>
        <w:t>(</w:t>
      </w:r>
      <w:r w:rsidRPr="001C1752">
        <w:rPr>
          <w:lang w:val="nl-NL"/>
        </w:rPr>
        <w:t>dầu thô đã được sử dụng để sản xuất ra các mặt hàng xăng dầu đang thuộc đối tượng chịu thuế</w:t>
      </w:r>
      <w:r w:rsidR="00350215" w:rsidRPr="001C1752">
        <w:rPr>
          <w:lang w:val="nl-NL"/>
        </w:rPr>
        <w:t xml:space="preserve"> BVMT</w:t>
      </w:r>
      <w:r w:rsidR="006C3D59" w:rsidRPr="001C1752">
        <w:rPr>
          <w:lang w:val="nl-NL"/>
        </w:rPr>
        <w:t xml:space="preserve">; </w:t>
      </w:r>
      <w:r w:rsidR="00350215" w:rsidRPr="001C1752">
        <w:rPr>
          <w:lang w:val="nl-NL"/>
        </w:rPr>
        <w:t xml:space="preserve">các sản phẩm </w:t>
      </w:r>
      <w:r w:rsidR="006C3D59" w:rsidRPr="001C1752">
        <w:rPr>
          <w:lang w:val="nl-NL"/>
        </w:rPr>
        <w:t>ắc quy, máy tính</w:t>
      </w:r>
      <w:r w:rsidR="00350215" w:rsidRPr="001C1752">
        <w:rPr>
          <w:lang w:val="nl-NL"/>
        </w:rPr>
        <w:t>, lốp xe</w:t>
      </w:r>
      <w:r w:rsidR="006C3D59" w:rsidRPr="001C1752">
        <w:rPr>
          <w:lang w:val="nl-NL"/>
        </w:rPr>
        <w:t xml:space="preserve"> sau khi </w:t>
      </w:r>
      <w:r w:rsidR="002900B3" w:rsidRPr="001C1752">
        <w:rPr>
          <w:lang w:val="nl-NL"/>
        </w:rPr>
        <w:t>sử dụng</w:t>
      </w:r>
      <w:r w:rsidR="00350215" w:rsidRPr="001C1752">
        <w:rPr>
          <w:lang w:val="nl-NL"/>
        </w:rPr>
        <w:t xml:space="preserve"> sẽ </w:t>
      </w:r>
      <w:r w:rsidR="002900B3" w:rsidRPr="001C1752">
        <w:rPr>
          <w:lang w:val="nl-NL"/>
        </w:rPr>
        <w:t xml:space="preserve">phải </w:t>
      </w:r>
      <w:r w:rsidR="00350215" w:rsidRPr="001C1752">
        <w:rPr>
          <w:lang w:val="nl-NL"/>
        </w:rPr>
        <w:t>thực hiện cơ chế thu hồi</w:t>
      </w:r>
      <w:r w:rsidR="007D5386" w:rsidRPr="001C1752">
        <w:rPr>
          <w:lang w:val="nl-NL"/>
        </w:rPr>
        <w:t>, xử lý sản phẩm thải bỏ</w:t>
      </w:r>
      <w:r w:rsidR="00350215" w:rsidRPr="001C1752">
        <w:rPr>
          <w:rStyle w:val="FootnoteReference"/>
          <w:lang w:val="nl-NL"/>
        </w:rPr>
        <w:footnoteReference w:id="5"/>
      </w:r>
      <w:r w:rsidR="00350215" w:rsidRPr="001C1752">
        <w:rPr>
          <w:lang w:val="nl-NL"/>
        </w:rPr>
        <w:t xml:space="preserve">; hóa chất tẩy rửa </w:t>
      </w:r>
      <w:r w:rsidR="00B21E4A" w:rsidRPr="001C1752">
        <w:rPr>
          <w:lang w:val="nl-NL"/>
        </w:rPr>
        <w:t xml:space="preserve">công nghiệp </w:t>
      </w:r>
      <w:r w:rsidR="00350215" w:rsidRPr="001C1752">
        <w:rPr>
          <w:lang w:val="nl-NL"/>
        </w:rPr>
        <w:t xml:space="preserve">gây tác động xấu đến môi trường thông qua </w:t>
      </w:r>
      <w:r w:rsidR="00350215" w:rsidRPr="001C1752">
        <w:rPr>
          <w:lang w:val="nl-NL"/>
        </w:rPr>
        <w:lastRenderedPageBreak/>
        <w:t>việc xả nước thải công nghiệp, chất thải rắn đang thuộc đối tượng chịu phí BVMT đối với nước thải, chất thải rắn; phân bón hóa học là sản phẩm đầu vào thiết y</w:t>
      </w:r>
      <w:r w:rsidR="001663EA" w:rsidRPr="001C1752">
        <w:rPr>
          <w:lang w:val="nl-NL"/>
        </w:rPr>
        <w:t>ếu</w:t>
      </w:r>
      <w:r w:rsidR="00350215" w:rsidRPr="001C1752">
        <w:rPr>
          <w:lang w:val="nl-NL"/>
        </w:rPr>
        <w:t xml:space="preserve"> cho ngành sản xuất nông nghiệp,</w:t>
      </w:r>
      <w:r w:rsidR="001663EA" w:rsidRPr="001C1752">
        <w:rPr>
          <w:lang w:val="nl-NL"/>
        </w:rPr>
        <w:t xml:space="preserve"> nếu th</w:t>
      </w:r>
      <w:r w:rsidR="00B725A6" w:rsidRPr="001C1752">
        <w:rPr>
          <w:lang w:val="nl-NL"/>
        </w:rPr>
        <w:t>u thuế BVMT sẽ làm tăng chi phí</w:t>
      </w:r>
      <w:r w:rsidR="001663EA" w:rsidRPr="001C1752">
        <w:rPr>
          <w:lang w:val="nl-NL"/>
        </w:rPr>
        <w:t xml:space="preserve">, gây khó khăn cho hoạt động sản xuất nông nghiệp, </w:t>
      </w:r>
      <w:r w:rsidR="00350215" w:rsidRPr="001C1752">
        <w:rPr>
          <w:lang w:val="nl-NL"/>
        </w:rPr>
        <w:t xml:space="preserve">trong khi </w:t>
      </w:r>
      <w:r w:rsidR="001663EA" w:rsidRPr="001C1752">
        <w:rPr>
          <w:lang w:val="nl-NL"/>
        </w:rPr>
        <w:t>hiện nay Nhà nước đang thực hiện nhiều chính sách hỗ trợ, phát triển</w:t>
      </w:r>
      <w:r w:rsidR="00B21E4A" w:rsidRPr="001C1752">
        <w:rPr>
          <w:lang w:val="nl-NL"/>
        </w:rPr>
        <w:t xml:space="preserve"> sản xuất nông nghiệp</w:t>
      </w:r>
      <w:r w:rsidR="00350215" w:rsidRPr="001C1752">
        <w:rPr>
          <w:lang w:val="nl-NL"/>
        </w:rPr>
        <w:t>)</w:t>
      </w:r>
      <w:r w:rsidRPr="001C1752">
        <w:rPr>
          <w:lang w:val="nl-NL"/>
        </w:rPr>
        <w:t>.</w:t>
      </w:r>
    </w:p>
    <w:p w:rsidR="00D11F4D" w:rsidRPr="001C1752" w:rsidRDefault="00A60119" w:rsidP="004E00BD">
      <w:pPr>
        <w:spacing w:before="120" w:after="120"/>
        <w:ind w:firstLine="720"/>
        <w:jc w:val="both"/>
        <w:rPr>
          <w:b/>
          <w:lang w:val="nb-NO" w:eastAsia="vi-VN"/>
        </w:rPr>
      </w:pPr>
      <w:r w:rsidRPr="001C1752">
        <w:rPr>
          <w:b/>
          <w:lang w:val="nl-NL" w:eastAsia="vi-VN"/>
        </w:rPr>
        <w:t>4. Về đ</w:t>
      </w:r>
      <w:r w:rsidR="00A10859" w:rsidRPr="001C1752">
        <w:rPr>
          <w:b/>
          <w:lang w:val="nb-NO" w:eastAsia="vi-VN"/>
        </w:rPr>
        <w:t>ối tượng không chịu thuế</w:t>
      </w:r>
    </w:p>
    <w:p w:rsidR="00863B6A" w:rsidRPr="001C1752" w:rsidRDefault="00A60119" w:rsidP="004E00BD">
      <w:pPr>
        <w:spacing w:before="120" w:after="120"/>
        <w:ind w:firstLine="720"/>
        <w:jc w:val="both"/>
        <w:rPr>
          <w:b/>
          <w:lang w:val="nb-NO" w:eastAsia="vi-VN"/>
        </w:rPr>
      </w:pPr>
      <w:r w:rsidRPr="001C1752">
        <w:rPr>
          <w:b/>
          <w:i/>
          <w:lang w:val="nl-NL"/>
        </w:rPr>
        <w:t>a)</w:t>
      </w:r>
      <w:r w:rsidR="00664523" w:rsidRPr="001C1752">
        <w:rPr>
          <w:b/>
          <w:i/>
          <w:lang w:val="nl-NL"/>
        </w:rPr>
        <w:t xml:space="preserve"> </w:t>
      </w:r>
      <w:r w:rsidR="00F278E1" w:rsidRPr="001C1752">
        <w:rPr>
          <w:b/>
          <w:i/>
          <w:lang w:val="nl-NL"/>
        </w:rPr>
        <w:t>Về h</w:t>
      </w:r>
      <w:r w:rsidR="00863B6A" w:rsidRPr="001C1752">
        <w:rPr>
          <w:b/>
          <w:i/>
          <w:lang w:val="nl-NL"/>
        </w:rPr>
        <w:t>àng hóa vận chuyển quá cảnh, chuyển khẩu, trung chuyển</w:t>
      </w:r>
    </w:p>
    <w:p w:rsidR="001663EA" w:rsidRPr="001C1752" w:rsidRDefault="001663EA" w:rsidP="004E00BD">
      <w:pPr>
        <w:spacing w:before="120" w:after="120"/>
        <w:ind w:firstLine="720"/>
        <w:jc w:val="both"/>
        <w:rPr>
          <w:b/>
          <w:i/>
          <w:lang w:val="nl-NL"/>
        </w:rPr>
      </w:pPr>
      <w:r w:rsidRPr="001C1752">
        <w:rPr>
          <w:lang w:val="nl-NL"/>
        </w:rPr>
        <w:t xml:space="preserve">Tại điểm a khoản 2 Điều 4 Luật thuế BVMT </w:t>
      </w:r>
      <w:r w:rsidR="004E6681" w:rsidRPr="001C1752">
        <w:rPr>
          <w:lang w:val="nl-NL"/>
        </w:rPr>
        <w:t>về</w:t>
      </w:r>
      <w:r w:rsidRPr="001C1752">
        <w:rPr>
          <w:lang w:val="nl-NL"/>
        </w:rPr>
        <w:t xml:space="preserve"> đối tượng không chịu thuế BVMT </w:t>
      </w:r>
      <w:r w:rsidR="004E6681" w:rsidRPr="001C1752">
        <w:rPr>
          <w:lang w:val="nl-NL"/>
        </w:rPr>
        <w:t>quy định</w:t>
      </w:r>
      <w:r w:rsidRPr="001C1752">
        <w:rPr>
          <w:lang w:val="nl-NL"/>
        </w:rPr>
        <w:t xml:space="preserve">: </w:t>
      </w:r>
      <w:r w:rsidRPr="001C1752">
        <w:rPr>
          <w:i/>
          <w:lang w:val="sv-SE"/>
        </w:rPr>
        <w:t>“a) Hàng hóa vận chuyển quá cảnh hoặc chuyển khẩu qua cửa khẩu, biên giới Việt Nam theo quy định của pháp luật...”</w:t>
      </w:r>
    </w:p>
    <w:p w:rsidR="00BF7934" w:rsidRPr="001C1752" w:rsidRDefault="00BF7934" w:rsidP="004E00BD">
      <w:pPr>
        <w:spacing w:before="120" w:after="120"/>
        <w:ind w:firstLine="720"/>
        <w:jc w:val="both"/>
        <w:rPr>
          <w:lang w:val="sv-SE"/>
        </w:rPr>
      </w:pPr>
      <w:r w:rsidRPr="001C1752">
        <w:rPr>
          <w:lang w:val="sv-SE"/>
        </w:rPr>
        <w:t>Theo quy định t</w:t>
      </w:r>
      <w:r w:rsidR="001663EA" w:rsidRPr="001C1752">
        <w:rPr>
          <w:lang w:val="sv-SE"/>
        </w:rPr>
        <w:t xml:space="preserve">ại điểm a khoản 4 Điều 2 Luật </w:t>
      </w:r>
      <w:r w:rsidR="002D4E3C" w:rsidRPr="001C1752">
        <w:rPr>
          <w:lang w:val="sv-SE"/>
        </w:rPr>
        <w:t xml:space="preserve">thuế xuất khẩu, thuế nhập khẩu </w:t>
      </w:r>
      <w:r w:rsidRPr="001C1752">
        <w:rPr>
          <w:lang w:val="sv-SE"/>
        </w:rPr>
        <w:t xml:space="preserve">về đối tượng chịu thuế xuất khẩu, thuế nhập khẩu thì ngoài quy định không áp dụng đối với hàng hóa quá cảnh, chuyển cảnh còn quy định không áp dụng đối với hàng hóa </w:t>
      </w:r>
      <w:r w:rsidRPr="001C1752">
        <w:rPr>
          <w:b/>
          <w:lang w:val="sv-SE"/>
        </w:rPr>
        <w:t>trung chuyển</w:t>
      </w:r>
      <w:r w:rsidRPr="001C1752">
        <w:rPr>
          <w:lang w:val="sv-SE"/>
        </w:rPr>
        <w:t>.</w:t>
      </w:r>
    </w:p>
    <w:p w:rsidR="00BB2658" w:rsidRPr="001C1752" w:rsidRDefault="001663EA" w:rsidP="004E00BD">
      <w:pPr>
        <w:spacing w:before="120" w:after="120"/>
        <w:ind w:firstLine="720"/>
        <w:jc w:val="both"/>
        <w:rPr>
          <w:lang w:val="sv-SE"/>
        </w:rPr>
      </w:pPr>
      <w:r w:rsidRPr="001C1752">
        <w:rPr>
          <w:lang w:val="sv-SE"/>
        </w:rPr>
        <w:t>Để phù hợp với quy định của Luật thuế xuất khẩu, thuế nhập khẩu, đề nghị</w:t>
      </w:r>
      <w:r w:rsidRPr="001C1752">
        <w:rPr>
          <w:lang w:val="sv-SE" w:eastAsia="vi-VN"/>
        </w:rPr>
        <w:t xml:space="preserve"> </w:t>
      </w:r>
      <w:r w:rsidRPr="001C1752">
        <w:rPr>
          <w:lang w:val="nb-NO" w:eastAsia="vi-VN"/>
        </w:rPr>
        <w:t xml:space="preserve">bổ sung </w:t>
      </w:r>
      <w:r w:rsidR="00BB2658" w:rsidRPr="001C1752">
        <w:rPr>
          <w:lang w:val="nb-NO" w:eastAsia="vi-VN"/>
        </w:rPr>
        <w:t xml:space="preserve">hàng hóa </w:t>
      </w:r>
      <w:r w:rsidR="00BB2658" w:rsidRPr="001C1752">
        <w:rPr>
          <w:b/>
          <w:lang w:val="nb-NO" w:eastAsia="vi-VN"/>
        </w:rPr>
        <w:t>trung chuyển</w:t>
      </w:r>
      <w:r w:rsidR="00BB2658" w:rsidRPr="001C1752">
        <w:rPr>
          <w:lang w:val="nb-NO" w:eastAsia="vi-VN"/>
        </w:rPr>
        <w:t xml:space="preserve"> vào đối tượng không chịu thuế BVMT </w:t>
      </w:r>
      <w:r w:rsidRPr="001C1752">
        <w:rPr>
          <w:lang w:val="sv-SE"/>
        </w:rPr>
        <w:t>tại điểm a khoản 2 Điều 4 Luật thuế BVMT</w:t>
      </w:r>
      <w:r w:rsidR="00BB2658" w:rsidRPr="001C1752">
        <w:rPr>
          <w:lang w:val="sv-SE"/>
        </w:rPr>
        <w:t>.</w:t>
      </w:r>
    </w:p>
    <w:p w:rsidR="00906152" w:rsidRPr="001C1752" w:rsidRDefault="00906152" w:rsidP="004E00BD">
      <w:pPr>
        <w:spacing w:before="120" w:after="120"/>
        <w:ind w:firstLine="720"/>
        <w:jc w:val="both"/>
        <w:rPr>
          <w:b/>
          <w:i/>
          <w:lang w:val="nb-NO" w:eastAsia="vi-VN"/>
        </w:rPr>
      </w:pPr>
      <w:r w:rsidRPr="001C1752">
        <w:rPr>
          <w:lang w:val="nb-NO" w:eastAsia="vi-VN"/>
        </w:rPr>
        <w:t>(Nội dung này thể hiện tại</w:t>
      </w:r>
      <w:r w:rsidR="001A2B39" w:rsidRPr="001C1752">
        <w:rPr>
          <w:lang w:val="nb-NO" w:eastAsia="vi-VN"/>
        </w:rPr>
        <w:t xml:space="preserve"> k</w:t>
      </w:r>
      <w:r w:rsidRPr="001C1752">
        <w:rPr>
          <w:lang w:val="nb-NO" w:eastAsia="vi-VN"/>
        </w:rPr>
        <w:t xml:space="preserve">hoản </w:t>
      </w:r>
      <w:r w:rsidR="009144C5" w:rsidRPr="001C1752">
        <w:rPr>
          <w:lang w:val="nb-NO" w:eastAsia="vi-VN"/>
        </w:rPr>
        <w:t>4</w:t>
      </w:r>
      <w:r w:rsidRPr="001C1752">
        <w:rPr>
          <w:lang w:val="nb-NO" w:eastAsia="vi-VN"/>
        </w:rPr>
        <w:t xml:space="preserve"> Điều 1 dự thảo Luật)</w:t>
      </w:r>
    </w:p>
    <w:p w:rsidR="001E342E" w:rsidRPr="001C1752" w:rsidRDefault="00A60119" w:rsidP="004E00BD">
      <w:pPr>
        <w:spacing w:before="120" w:after="120"/>
        <w:ind w:firstLine="720"/>
        <w:jc w:val="both"/>
        <w:rPr>
          <w:b/>
          <w:i/>
          <w:lang w:val="sv-SE"/>
        </w:rPr>
      </w:pPr>
      <w:r w:rsidRPr="001C1752">
        <w:rPr>
          <w:b/>
          <w:i/>
          <w:lang w:val="nl-NL"/>
        </w:rPr>
        <w:t xml:space="preserve">b) </w:t>
      </w:r>
      <w:r w:rsidR="00F278E1" w:rsidRPr="001C1752">
        <w:rPr>
          <w:b/>
          <w:i/>
          <w:lang w:val="nl-NL"/>
        </w:rPr>
        <w:t>Về h</w:t>
      </w:r>
      <w:r w:rsidR="009F6BEC" w:rsidRPr="001C1752">
        <w:rPr>
          <w:b/>
          <w:i/>
          <w:lang w:val="sv-SE"/>
        </w:rPr>
        <w:t>àng hóa tạm nhập khẩ</w:t>
      </w:r>
      <w:r w:rsidR="00767BB0" w:rsidRPr="001C1752">
        <w:rPr>
          <w:b/>
          <w:i/>
          <w:lang w:val="sv-SE"/>
        </w:rPr>
        <w:t>u, tái xuất khẩu</w:t>
      </w:r>
    </w:p>
    <w:p w:rsidR="001E342E" w:rsidRPr="001C1752" w:rsidRDefault="001E342E" w:rsidP="004E00BD">
      <w:pPr>
        <w:spacing w:before="120" w:after="120"/>
        <w:ind w:firstLine="720"/>
        <w:jc w:val="both"/>
        <w:rPr>
          <w:b/>
          <w:i/>
          <w:lang w:val="sv-SE"/>
        </w:rPr>
      </w:pPr>
      <w:r w:rsidRPr="001C1752">
        <w:rPr>
          <w:lang w:val="sv-SE"/>
        </w:rPr>
        <w:t>Theo quy định t</w:t>
      </w:r>
      <w:r w:rsidRPr="001C1752">
        <w:rPr>
          <w:lang w:val="nl-NL"/>
        </w:rPr>
        <w:t xml:space="preserve">ại điểm b khoản 2 Điều 4 Luật thuế BVMT </w:t>
      </w:r>
      <w:r w:rsidRPr="001C1752">
        <w:rPr>
          <w:lang w:val="sv-SE"/>
        </w:rPr>
        <w:t xml:space="preserve">thì </w:t>
      </w:r>
      <w:r w:rsidRPr="001C1752">
        <w:rPr>
          <w:i/>
          <w:lang w:val="sv-SE"/>
        </w:rPr>
        <w:t>hàng hóa tạm nhập khẩu, tái xuất khẩu trong thời hạn theo quy định của pháp luật</w:t>
      </w:r>
      <w:r w:rsidRPr="001C1752">
        <w:rPr>
          <w:lang w:val="sv-SE"/>
        </w:rPr>
        <w:t xml:space="preserve"> thuộc đối tượng không chịu thuế BVMT; Theo quy định tại khoản 3, khoản 5 Điều 11 Luật thuế BVMT thì </w:t>
      </w:r>
      <w:r w:rsidRPr="001C1752">
        <w:rPr>
          <w:i/>
          <w:lang w:val="sv-SE"/>
        </w:rPr>
        <w:t>hàng hóa tạm nhập khẩu để tái xuất khẩu theo phương thức kinh doanh hàng tạm nhập, tái xuất và hàng hóa tạm nhập khẩu để tham gia hội chợ, triển lãm, giới thiệu sản phẩm theo quy định của pháp luật khi tái xuất khẩu ra nước ngoài</w:t>
      </w:r>
      <w:r w:rsidRPr="001C1752">
        <w:rPr>
          <w:lang w:val="sv-SE"/>
        </w:rPr>
        <w:t xml:space="preserve"> thuộc trường hợp được hoàn thuế BVMT.</w:t>
      </w:r>
    </w:p>
    <w:p w:rsidR="001E342E" w:rsidRPr="001C1752" w:rsidRDefault="001E342E" w:rsidP="004E00BD">
      <w:pPr>
        <w:spacing w:before="120" w:after="120"/>
        <w:ind w:firstLine="720"/>
        <w:jc w:val="both"/>
        <w:rPr>
          <w:i/>
          <w:lang w:val="sv-SE"/>
        </w:rPr>
      </w:pPr>
      <w:r w:rsidRPr="001C1752">
        <w:rPr>
          <w:lang w:val="sv-SE"/>
        </w:rPr>
        <w:t xml:space="preserve">Theo </w:t>
      </w:r>
      <w:r w:rsidR="008079BD" w:rsidRPr="001C1752">
        <w:rPr>
          <w:lang w:val="sv-SE"/>
        </w:rPr>
        <w:t xml:space="preserve">quy định tại </w:t>
      </w:r>
      <w:r w:rsidRPr="001C1752">
        <w:rPr>
          <w:lang w:val="sv-SE"/>
        </w:rPr>
        <w:t xml:space="preserve">khoản 3 Điều 46 và khoản 2 Điều 48 Luật hải quan thì hàng hóa kinh doanh tạm nhập và hàng hóa tạm nhập khẩu đều phải thực hiện tái xuất hoặc tái xuất khẩu trong thời hạn quy định. Đồng thời, tại điểm a và đ khoản 9 Điều 16 Luật thuế xuất khẩu, thuế nhập khẩu quy định miễn thuế đối với hàng hóa tạm nhập, tái xuất trong thời hạn nhất định, bao gồm: </w:t>
      </w:r>
      <w:r w:rsidRPr="001C1752">
        <w:rPr>
          <w:rStyle w:val="normal-h"/>
          <w:i/>
          <w:lang w:val="vi-VN"/>
        </w:rPr>
        <w:t>Hàng hóa tạm nhập, tái xuất, tạm xuất, tái nhập để tổ chức hoặc tham dự hội chợ, triển lãm, giới thiệu sản phẩm</w:t>
      </w:r>
      <w:r w:rsidRPr="001C1752">
        <w:rPr>
          <w:rStyle w:val="normal-h"/>
          <w:i/>
          <w:lang w:val="sv-SE"/>
        </w:rPr>
        <w:t xml:space="preserve">; </w:t>
      </w:r>
      <w:r w:rsidR="00047F9C" w:rsidRPr="001C1752">
        <w:rPr>
          <w:rStyle w:val="normal-h"/>
          <w:lang w:val="sv-SE"/>
        </w:rPr>
        <w:t xml:space="preserve">và </w:t>
      </w:r>
      <w:r w:rsidR="00047F9C" w:rsidRPr="001C1752">
        <w:rPr>
          <w:rStyle w:val="normal-h"/>
          <w:i/>
          <w:lang w:val="sv-SE"/>
        </w:rPr>
        <w:t>h</w:t>
      </w:r>
      <w:r w:rsidRPr="001C1752">
        <w:rPr>
          <w:i/>
          <w:lang w:val="sv-SE"/>
        </w:rPr>
        <w:t xml:space="preserve">àng hóa kinh doanh tạm nhập, tái xuất trong thời hạn tạm nhập, tái xuất (bao gồm cả thời gian gia hạn) được tổ chức tín dụng bảo lãnh hoặc đã đặt cọc một khoản tiền tương đương số tiền thuế nhập khẩu </w:t>
      </w:r>
      <w:r w:rsidR="00047F9C" w:rsidRPr="001C1752">
        <w:rPr>
          <w:i/>
          <w:lang w:val="sv-SE"/>
        </w:rPr>
        <w:t>của hàng hóa tạm nhập, tái xuất</w:t>
      </w:r>
      <w:r w:rsidRPr="001C1752">
        <w:rPr>
          <w:i/>
          <w:lang w:val="sv-SE"/>
        </w:rPr>
        <w:t>.</w:t>
      </w:r>
    </w:p>
    <w:p w:rsidR="001E342E" w:rsidRPr="001C1752" w:rsidRDefault="001E342E" w:rsidP="004E00BD">
      <w:pPr>
        <w:spacing w:before="120" w:after="120"/>
        <w:ind w:firstLine="720"/>
        <w:jc w:val="both"/>
        <w:rPr>
          <w:i/>
          <w:lang w:val="sv-SE"/>
        </w:rPr>
      </w:pPr>
      <w:r w:rsidRPr="001C1752">
        <w:rPr>
          <w:lang w:val="sv-SE"/>
        </w:rPr>
        <w:t xml:space="preserve">Để phù hợp với Luật hải quan, Luật thuế xuất khẩu, thuế nhập khẩu; đảm bảo phù hợp với quy định về đối tượng không chịu thuế đối với hàng hóa tạm </w:t>
      </w:r>
      <w:r w:rsidRPr="001C1752">
        <w:rPr>
          <w:lang w:val="sv-SE"/>
        </w:rPr>
        <w:lastRenderedPageBreak/>
        <w:t xml:space="preserve">nhập khẩu, tái xuất khẩu; đồng thời </w:t>
      </w:r>
      <w:r w:rsidR="002F0FCC" w:rsidRPr="001C1752">
        <w:rPr>
          <w:lang w:val="sv-SE"/>
        </w:rPr>
        <w:t xml:space="preserve">đảm bảo quản lý chặt chẽ, </w:t>
      </w:r>
      <w:r w:rsidR="002F0FCC" w:rsidRPr="001C1752">
        <w:rPr>
          <w:lang w:val="nl-NL"/>
        </w:rPr>
        <w:t xml:space="preserve">tránh cách hiểu khác nhau, </w:t>
      </w:r>
      <w:r w:rsidRPr="001C1752">
        <w:rPr>
          <w:lang w:val="nl-NL"/>
        </w:rPr>
        <w:t xml:space="preserve">tránh trường hợp hàng hóa tạm nhập khẩu, tái xuất khẩu được sử dụng ở Việt Nam, gây ô nhiễm môi trường trong thời hạn tạm nhập khẩu, tái xuất khẩu, </w:t>
      </w:r>
      <w:r w:rsidRPr="001C1752">
        <w:rPr>
          <w:lang w:val="sv-SE"/>
        </w:rPr>
        <w:t>đề nghị</w:t>
      </w:r>
      <w:r w:rsidRPr="001C1752">
        <w:rPr>
          <w:lang w:val="sv-SE" w:eastAsia="vi-VN"/>
        </w:rPr>
        <w:t xml:space="preserve"> c</w:t>
      </w:r>
      <w:r w:rsidRPr="001C1752">
        <w:rPr>
          <w:lang w:val="sv-SE"/>
        </w:rPr>
        <w:t xml:space="preserve">huyển quy định </w:t>
      </w:r>
      <w:r w:rsidR="008079BD" w:rsidRPr="001C1752">
        <w:rPr>
          <w:lang w:val="sv-SE"/>
        </w:rPr>
        <w:t xml:space="preserve">về hoàn thuế </w:t>
      </w:r>
      <w:r w:rsidRPr="001C1752">
        <w:rPr>
          <w:lang w:val="sv-SE"/>
        </w:rPr>
        <w:t>tại khoản 3</w:t>
      </w:r>
      <w:r w:rsidR="009956FF" w:rsidRPr="001C1752">
        <w:rPr>
          <w:lang w:val="sv-SE"/>
        </w:rPr>
        <w:t>,</w:t>
      </w:r>
      <w:r w:rsidRPr="001C1752">
        <w:rPr>
          <w:lang w:val="sv-SE"/>
        </w:rPr>
        <w:t xml:space="preserve"> </w:t>
      </w:r>
      <w:r w:rsidR="00A34163" w:rsidRPr="001C1752">
        <w:rPr>
          <w:lang w:val="sv-SE"/>
        </w:rPr>
        <w:t xml:space="preserve">khoản </w:t>
      </w:r>
      <w:r w:rsidRPr="001C1752">
        <w:rPr>
          <w:lang w:val="sv-SE"/>
        </w:rPr>
        <w:t xml:space="preserve">5 Điều 11 Luật thuế BVMT sang </w:t>
      </w:r>
      <w:r w:rsidR="008079BD" w:rsidRPr="001C1752">
        <w:rPr>
          <w:lang w:val="sv-SE"/>
        </w:rPr>
        <w:t xml:space="preserve">quy định về </w:t>
      </w:r>
      <w:r w:rsidRPr="001C1752">
        <w:rPr>
          <w:lang w:val="sv-SE"/>
        </w:rPr>
        <w:t>đối tượng không chịu thuế và sửa đổi, bổ sung quy định t</w:t>
      </w:r>
      <w:r w:rsidRPr="001C1752">
        <w:rPr>
          <w:lang w:val="nl-NL"/>
        </w:rPr>
        <w:t xml:space="preserve">ại điểm b khoản 2 Điều 4 Luật thuế BVMT </w:t>
      </w:r>
      <w:r w:rsidRPr="001C1752">
        <w:rPr>
          <w:lang w:val="sv-SE"/>
        </w:rPr>
        <w:t xml:space="preserve">về đối tượng không chịu thuế đối với hàng hóa tạm nhập khẩu, tái xuất khẩu như sau: “b) Hàng hóa kinh doanh tạm nhập, tái xuất trong thời hạn </w:t>
      </w:r>
      <w:r w:rsidRPr="001C1752">
        <w:rPr>
          <w:i/>
          <w:lang w:val="sv-SE"/>
        </w:rPr>
        <w:t>tạm nhập, tái xuất và</w:t>
      </w:r>
      <w:r w:rsidRPr="001C1752">
        <w:rPr>
          <w:b/>
          <w:i/>
          <w:lang w:val="sv-SE"/>
        </w:rPr>
        <w:t xml:space="preserve"> </w:t>
      </w:r>
      <w:r w:rsidRPr="001C1752">
        <w:rPr>
          <w:i/>
          <w:lang w:val="sv-SE"/>
        </w:rPr>
        <w:t>hàng hóa tạm nhập khẩu, tái xuất khẩu trong thời hạn</w:t>
      </w:r>
      <w:r w:rsidRPr="001C1752">
        <w:rPr>
          <w:b/>
          <w:lang w:val="sv-SE"/>
        </w:rPr>
        <w:t xml:space="preserve"> </w:t>
      </w:r>
      <w:r w:rsidRPr="001C1752">
        <w:rPr>
          <w:i/>
          <w:lang w:val="sv-SE"/>
        </w:rPr>
        <w:t>tạm nhập khẩu, tái xuất khẩu</w:t>
      </w:r>
      <w:r w:rsidRPr="001C1752">
        <w:rPr>
          <w:b/>
          <w:lang w:val="sv-SE"/>
        </w:rPr>
        <w:t xml:space="preserve"> </w:t>
      </w:r>
      <w:r w:rsidRPr="001C1752">
        <w:rPr>
          <w:lang w:val="sv-SE"/>
        </w:rPr>
        <w:t xml:space="preserve">theo quy định, </w:t>
      </w:r>
      <w:r w:rsidRPr="001C1752">
        <w:rPr>
          <w:i/>
          <w:lang w:val="sv-SE"/>
        </w:rPr>
        <w:t>chưa qua sử dụng, gia công, chế biến tại Việt Nam. Thời hạn quy định tại điểm này bao gồm cả thời gian gia hạn.”</w:t>
      </w:r>
    </w:p>
    <w:p w:rsidR="001E342E" w:rsidRPr="001C1752" w:rsidRDefault="001E342E" w:rsidP="004E00BD">
      <w:pPr>
        <w:spacing w:before="120" w:after="120"/>
        <w:ind w:firstLine="720"/>
        <w:jc w:val="both"/>
        <w:rPr>
          <w:lang w:val="nb-NO" w:eastAsia="vi-VN"/>
        </w:rPr>
      </w:pPr>
      <w:r w:rsidRPr="001C1752">
        <w:rPr>
          <w:lang w:val="nb-NO" w:eastAsia="vi-VN"/>
        </w:rPr>
        <w:t>(Nội dung này thể hiện tại khoản 4 Điều 1 dự thảo Luật)</w:t>
      </w:r>
    </w:p>
    <w:p w:rsidR="008E36FB" w:rsidRPr="001C1752" w:rsidRDefault="008E36FB" w:rsidP="004E00BD">
      <w:pPr>
        <w:spacing w:before="120" w:after="120"/>
        <w:ind w:firstLine="720"/>
        <w:jc w:val="both"/>
        <w:rPr>
          <w:b/>
          <w:i/>
          <w:lang w:val="nl-NL"/>
        </w:rPr>
      </w:pPr>
      <w:r w:rsidRPr="001C1752">
        <w:rPr>
          <w:b/>
          <w:i/>
          <w:lang w:val="nl-NL"/>
        </w:rPr>
        <w:t>c) Về hàng hóa do tổ chức, hộ gia đình, cá nhân mua để xuất khẩu</w:t>
      </w:r>
    </w:p>
    <w:p w:rsidR="008E36FB" w:rsidRPr="001C1752" w:rsidRDefault="008E36FB" w:rsidP="004E00BD">
      <w:pPr>
        <w:spacing w:before="120" w:after="120"/>
        <w:ind w:firstLine="720"/>
        <w:jc w:val="both"/>
        <w:rPr>
          <w:lang w:val="nl-NL"/>
        </w:rPr>
      </w:pPr>
      <w:r w:rsidRPr="001C1752">
        <w:rPr>
          <w:lang w:val="nl-NL"/>
        </w:rPr>
        <w:t xml:space="preserve">Tại điểm c khoản 2 Điều 4 Luật thuế BVMT về đối tượng không chịu thuế quy định: </w:t>
      </w:r>
      <w:r w:rsidRPr="001C1752">
        <w:rPr>
          <w:i/>
          <w:lang w:val="nl-NL"/>
        </w:rPr>
        <w:t>“c)</w:t>
      </w:r>
      <w:r w:rsidRPr="001C1752">
        <w:rPr>
          <w:lang w:val="nl-NL"/>
        </w:rPr>
        <w:t xml:space="preserve"> </w:t>
      </w:r>
      <w:r w:rsidRPr="001C1752">
        <w:rPr>
          <w:i/>
          <w:lang w:val="nl-NL"/>
        </w:rPr>
        <w:t>Hàng hóa do cơ sở sản xuất trực tiếp xuất khẩu hoặc ủy thác cho cơ sở kinh doanh xuất khẩu để xuất khẩu, trừ trường hợp tổ chức, hộ gia đình, cá nhân mua hàng hóa thuộc đối tượng chịu thuế bảo vệ môi trường để xuất khẩu”</w:t>
      </w:r>
      <w:r w:rsidRPr="001C1752">
        <w:rPr>
          <w:lang w:val="nl-NL"/>
        </w:rPr>
        <w:t>.</w:t>
      </w:r>
    </w:p>
    <w:p w:rsidR="0035724A" w:rsidRPr="001C1752" w:rsidRDefault="009740B9" w:rsidP="004E00BD">
      <w:pPr>
        <w:spacing w:before="120" w:after="120"/>
        <w:ind w:firstLine="720"/>
        <w:jc w:val="both"/>
        <w:rPr>
          <w:lang w:val="nl-NL"/>
        </w:rPr>
      </w:pPr>
      <w:r w:rsidRPr="001C1752">
        <w:rPr>
          <w:lang w:val="nl-NL"/>
        </w:rPr>
        <w:t xml:space="preserve">Theo Luật thuế BVMT thì về nguyên tắc, thuế BVMT chỉ thu đối với hàng hóa khi sử dụng gây tác động xấu đến môi trường tại Việt Nam. </w:t>
      </w:r>
      <w:r w:rsidR="0035724A" w:rsidRPr="001C1752">
        <w:rPr>
          <w:lang w:val="nl-NL"/>
        </w:rPr>
        <w:t xml:space="preserve">Mặt khác, theo đề xuất sửa đổi, bổ sung về thời điểm tính thuế BVMT tại mục </w:t>
      </w:r>
      <w:r w:rsidR="00A34163" w:rsidRPr="001C1752">
        <w:rPr>
          <w:lang w:val="nl-NL"/>
        </w:rPr>
        <w:t>7</w:t>
      </w:r>
      <w:r w:rsidR="0035724A" w:rsidRPr="001C1752">
        <w:rPr>
          <w:lang w:val="nl-NL"/>
        </w:rPr>
        <w:t xml:space="preserve"> dưới đây thì thời điểm tính thuế BVMT (đối với các hàng hóa, bao gồm cả xăng dầu) là tại khâu sản xuất </w:t>
      </w:r>
      <w:r w:rsidR="003026A1" w:rsidRPr="001C1752">
        <w:rPr>
          <w:lang w:val="nl-NL"/>
        </w:rPr>
        <w:t xml:space="preserve">bán ra </w:t>
      </w:r>
      <w:r w:rsidR="0035724A" w:rsidRPr="001C1752">
        <w:rPr>
          <w:lang w:val="nl-NL"/>
        </w:rPr>
        <w:t xml:space="preserve">hoặc </w:t>
      </w:r>
      <w:r w:rsidR="003026A1" w:rsidRPr="001C1752">
        <w:rPr>
          <w:lang w:val="nl-NL"/>
        </w:rPr>
        <w:t xml:space="preserve">tại khâu </w:t>
      </w:r>
      <w:r w:rsidR="0035724A" w:rsidRPr="001C1752">
        <w:rPr>
          <w:lang w:val="nl-NL"/>
        </w:rPr>
        <w:t>nhập khẩu. Vì vậy, quy định không thu thuế BVMT đối với hàng hóa do cơ sở sản xuất trực tiếp xuất khẩu hoặc ủy thác cho cơ sở kinh doanh xuất khẩu để xuất khẩu, nhưng thu thuế BVMT đối với trường hợp tổ chức, cá nhân mua hàng hóa để xuất khẩu (bao gồm cả hàng hóa được mua làm nguyên liệu, vật tư để gia công, sản xuất hàng hóa xuất khẩu) theo quy định tại điểm c khoản 2 Điều 4 nêu trên là chưa phù hợp</w:t>
      </w:r>
      <w:r w:rsidR="008079BD" w:rsidRPr="001C1752">
        <w:rPr>
          <w:lang w:val="nl-NL"/>
        </w:rPr>
        <w:t xml:space="preserve"> do các hàng hóa này đều không tiêu dùng tại Việt Nam, không gây ảnh hưởng đến môi trường Việt Nam</w:t>
      </w:r>
      <w:r w:rsidR="0035724A" w:rsidRPr="001C1752">
        <w:rPr>
          <w:lang w:val="nl-NL"/>
        </w:rPr>
        <w:t xml:space="preserve">. </w:t>
      </w:r>
    </w:p>
    <w:p w:rsidR="008E36FB" w:rsidRPr="001C1752" w:rsidRDefault="008E36FB" w:rsidP="004E00BD">
      <w:pPr>
        <w:spacing w:before="120" w:after="120"/>
        <w:ind w:firstLine="720"/>
        <w:jc w:val="both"/>
        <w:rPr>
          <w:lang w:val="nl-NL"/>
        </w:rPr>
      </w:pPr>
      <w:r w:rsidRPr="001C1752">
        <w:rPr>
          <w:lang w:val="nl-NL"/>
        </w:rPr>
        <w:t xml:space="preserve">Để đảm bảo nguyên tắc thu thuế BVMT nêu trên, </w:t>
      </w:r>
      <w:r w:rsidR="00AD04F2" w:rsidRPr="001C1752">
        <w:rPr>
          <w:lang w:val="nl-NL"/>
        </w:rPr>
        <w:t xml:space="preserve">đồng thời đảm bảo công tác quản lý </w:t>
      </w:r>
      <w:r w:rsidR="002E072D" w:rsidRPr="001C1752">
        <w:rPr>
          <w:lang w:val="nl-NL"/>
        </w:rPr>
        <w:t xml:space="preserve">thu thuế </w:t>
      </w:r>
      <w:r w:rsidR="00AD04F2" w:rsidRPr="001C1752">
        <w:rPr>
          <w:lang w:val="nl-NL"/>
        </w:rPr>
        <w:t xml:space="preserve">được chặt chẽ, </w:t>
      </w:r>
      <w:r w:rsidR="007F5D6A" w:rsidRPr="001C1752">
        <w:rPr>
          <w:lang w:val="nl-NL"/>
        </w:rPr>
        <w:t xml:space="preserve">đề nghị trường hợp tổ chức, cá nhân mua hàng hóa đã được nộp thuế BVMT </w:t>
      </w:r>
      <w:r w:rsidRPr="001C1752">
        <w:rPr>
          <w:lang w:val="nl-NL"/>
        </w:rPr>
        <w:t>đ</w:t>
      </w:r>
      <w:r w:rsidR="007F5D6A" w:rsidRPr="001C1752">
        <w:rPr>
          <w:lang w:val="nl-NL"/>
        </w:rPr>
        <w:t xml:space="preserve">ể xuất khẩu (bao gồm cả </w:t>
      </w:r>
      <w:r w:rsidRPr="001C1752">
        <w:rPr>
          <w:lang w:val="nl-NL"/>
        </w:rPr>
        <w:t xml:space="preserve">hàng hóa </w:t>
      </w:r>
      <w:r w:rsidR="007F5D6A" w:rsidRPr="001C1752">
        <w:rPr>
          <w:lang w:val="nl-NL"/>
        </w:rPr>
        <w:t xml:space="preserve">được mua làm </w:t>
      </w:r>
      <w:r w:rsidRPr="001C1752">
        <w:rPr>
          <w:lang w:val="nl-NL"/>
        </w:rPr>
        <w:t>nguyên liệu, vật tư</w:t>
      </w:r>
      <w:r w:rsidR="007F5D6A" w:rsidRPr="001C1752">
        <w:rPr>
          <w:lang w:val="nl-NL"/>
        </w:rPr>
        <w:t xml:space="preserve"> </w:t>
      </w:r>
      <w:r w:rsidRPr="001C1752">
        <w:rPr>
          <w:lang w:val="nl-NL"/>
        </w:rPr>
        <w:t>để</w:t>
      </w:r>
      <w:r w:rsidR="007F5D6A" w:rsidRPr="001C1752">
        <w:rPr>
          <w:lang w:val="nl-NL"/>
        </w:rPr>
        <w:t xml:space="preserve"> gia công, sản xuất hàng hóa</w:t>
      </w:r>
      <w:r w:rsidRPr="001C1752">
        <w:rPr>
          <w:lang w:val="nl-NL"/>
        </w:rPr>
        <w:t xml:space="preserve"> xuất khẩu</w:t>
      </w:r>
      <w:r w:rsidR="008079BD" w:rsidRPr="001C1752">
        <w:rPr>
          <w:lang w:val="nl-NL"/>
        </w:rPr>
        <w:t>)</w:t>
      </w:r>
      <w:r w:rsidRPr="001C1752">
        <w:rPr>
          <w:lang w:val="nl-NL"/>
        </w:rPr>
        <w:t xml:space="preserve"> thì được hoàn số thuế BVMT đã nộp tương ứng với hàng hóa đã xuất khẩu hoặc </w:t>
      </w:r>
      <w:r w:rsidR="008079BD" w:rsidRPr="001C1752">
        <w:rPr>
          <w:lang w:val="nl-NL"/>
        </w:rPr>
        <w:t xml:space="preserve">hàng hóa là </w:t>
      </w:r>
      <w:r w:rsidRPr="001C1752">
        <w:rPr>
          <w:lang w:val="nl-NL"/>
        </w:rPr>
        <w:t>nguyên liệu, vật tư có trong hàng hóa xuất khẩu.</w:t>
      </w:r>
    </w:p>
    <w:p w:rsidR="008E36FB" w:rsidRPr="001C1752" w:rsidRDefault="008E36FB" w:rsidP="004E00BD">
      <w:pPr>
        <w:spacing w:before="120" w:after="120"/>
        <w:ind w:firstLine="720"/>
        <w:jc w:val="both"/>
        <w:rPr>
          <w:i/>
          <w:lang w:val="nl-NL"/>
        </w:rPr>
      </w:pPr>
      <w:r w:rsidRPr="001C1752">
        <w:rPr>
          <w:lang w:val="nl-NL"/>
        </w:rPr>
        <w:t xml:space="preserve">Theo đó, đề nghị bỏ </w:t>
      </w:r>
      <w:r w:rsidR="00C878DB" w:rsidRPr="001C1752">
        <w:rPr>
          <w:lang w:val="nl-NL"/>
        </w:rPr>
        <w:t>nội dung</w:t>
      </w:r>
      <w:r w:rsidRPr="001C1752">
        <w:rPr>
          <w:lang w:val="nl-NL"/>
        </w:rPr>
        <w:t xml:space="preserve"> “</w:t>
      </w:r>
      <w:r w:rsidRPr="001C1752">
        <w:rPr>
          <w:i/>
          <w:lang w:val="nl-NL"/>
        </w:rPr>
        <w:t xml:space="preserve">trừ trường hợp tổ chức, hộ gia đình, cá nhân mua hàng hóa thuộc đối tượng chịu thuế bảo vệ môi trường để xuất khẩu” </w:t>
      </w:r>
      <w:r w:rsidRPr="001C1752">
        <w:rPr>
          <w:lang w:val="nl-NL"/>
        </w:rPr>
        <w:t>tại điểm c khoản 2 Điều 4 Luật thuế BVMT về đối tượng không chịu thuế. Đồng thời, bổ sung một khoản tại Điều 11 về hoàn thuế BVMT như sau:</w:t>
      </w:r>
      <w:r w:rsidRPr="001C1752">
        <w:rPr>
          <w:b/>
          <w:lang w:val="nl-NL"/>
        </w:rPr>
        <w:t xml:space="preserve"> </w:t>
      </w:r>
      <w:r w:rsidRPr="001C1752">
        <w:rPr>
          <w:rFonts w:eastAsia="Arial"/>
          <w:i/>
          <w:lang w:val="nl-NL" w:eastAsia="vi-VN"/>
        </w:rPr>
        <w:t>“</w:t>
      </w:r>
      <w:r w:rsidRPr="001C1752">
        <w:rPr>
          <w:i/>
          <w:lang w:val="nl-NL"/>
        </w:rPr>
        <w:t xml:space="preserve">Hàng hóa </w:t>
      </w:r>
      <w:r w:rsidR="000E59E9" w:rsidRPr="001C1752">
        <w:rPr>
          <w:i/>
          <w:lang w:val="nl-NL"/>
        </w:rPr>
        <w:t>sản xuất</w:t>
      </w:r>
      <w:r w:rsidR="001577FF" w:rsidRPr="001C1752">
        <w:rPr>
          <w:i/>
          <w:lang w:val="nl-NL"/>
        </w:rPr>
        <w:t xml:space="preserve"> hoặc nhập khẩu</w:t>
      </w:r>
      <w:r w:rsidR="000E59E9" w:rsidRPr="001C1752">
        <w:rPr>
          <w:i/>
          <w:lang w:val="nl-NL"/>
        </w:rPr>
        <w:t xml:space="preserve"> </w:t>
      </w:r>
      <w:r w:rsidR="00CA63E4" w:rsidRPr="001C1752">
        <w:rPr>
          <w:i/>
          <w:lang w:val="nl-NL"/>
        </w:rPr>
        <w:t>đã nộp thuế BVMT được tổ chức, cá nhân mua để</w:t>
      </w:r>
      <w:r w:rsidRPr="001C1752">
        <w:rPr>
          <w:i/>
          <w:lang w:val="nl-NL"/>
        </w:rPr>
        <w:t xml:space="preserve"> xuất khẩu</w:t>
      </w:r>
      <w:r w:rsidR="00CA63E4" w:rsidRPr="001C1752">
        <w:rPr>
          <w:i/>
          <w:lang w:val="nl-NL"/>
        </w:rPr>
        <w:t xml:space="preserve"> (bao gồm </w:t>
      </w:r>
      <w:r w:rsidR="008E074A" w:rsidRPr="001C1752">
        <w:rPr>
          <w:i/>
          <w:lang w:val="nl-NL"/>
        </w:rPr>
        <w:t>cả h</w:t>
      </w:r>
      <w:r w:rsidRPr="001C1752">
        <w:rPr>
          <w:i/>
          <w:lang w:val="nl-NL"/>
        </w:rPr>
        <w:t xml:space="preserve">àng hóa </w:t>
      </w:r>
      <w:r w:rsidR="006F380F" w:rsidRPr="001C1752">
        <w:rPr>
          <w:i/>
          <w:lang w:val="nl-NL"/>
        </w:rPr>
        <w:t xml:space="preserve">mua </w:t>
      </w:r>
      <w:r w:rsidRPr="001C1752">
        <w:rPr>
          <w:i/>
          <w:lang w:val="nl-NL"/>
        </w:rPr>
        <w:t>là</w:t>
      </w:r>
      <w:r w:rsidR="006F380F" w:rsidRPr="001C1752">
        <w:rPr>
          <w:i/>
          <w:lang w:val="nl-NL"/>
        </w:rPr>
        <w:t>m</w:t>
      </w:r>
      <w:r w:rsidRPr="001C1752">
        <w:rPr>
          <w:i/>
          <w:lang w:val="nl-NL"/>
        </w:rPr>
        <w:t xml:space="preserve"> nguyên liệu, vật tư để gia công, sản xuất hàng hóa xuất khẩu</w:t>
      </w:r>
      <w:r w:rsidR="000E59E9" w:rsidRPr="001C1752">
        <w:rPr>
          <w:i/>
          <w:lang w:val="nl-NL"/>
        </w:rPr>
        <w:t>)</w:t>
      </w:r>
      <w:r w:rsidRPr="001C1752">
        <w:rPr>
          <w:i/>
          <w:lang w:val="nl-NL"/>
        </w:rPr>
        <w:t>”.</w:t>
      </w:r>
    </w:p>
    <w:p w:rsidR="00F7153C" w:rsidRPr="001C1752" w:rsidRDefault="00F7153C" w:rsidP="004E00BD">
      <w:pPr>
        <w:spacing w:before="120" w:after="120"/>
        <w:ind w:firstLine="720"/>
        <w:jc w:val="both"/>
        <w:rPr>
          <w:b/>
          <w:i/>
          <w:lang w:val="nb-NO" w:eastAsia="vi-VN"/>
        </w:rPr>
      </w:pPr>
      <w:r w:rsidRPr="001C1752">
        <w:rPr>
          <w:lang w:val="nb-NO" w:eastAsia="vi-VN"/>
        </w:rPr>
        <w:lastRenderedPageBreak/>
        <w:t>(Nội dung này thể hiện tại</w:t>
      </w:r>
      <w:r w:rsidR="001A2B39" w:rsidRPr="001C1752">
        <w:rPr>
          <w:lang w:val="nb-NO" w:eastAsia="vi-VN"/>
        </w:rPr>
        <w:t xml:space="preserve"> k</w:t>
      </w:r>
      <w:r w:rsidRPr="001C1752">
        <w:rPr>
          <w:lang w:val="nb-NO" w:eastAsia="vi-VN"/>
        </w:rPr>
        <w:t xml:space="preserve">hoản 4 </w:t>
      </w:r>
      <w:r w:rsidR="00ED49BF" w:rsidRPr="001C1752">
        <w:rPr>
          <w:lang w:val="nb-NO" w:eastAsia="vi-VN"/>
        </w:rPr>
        <w:t xml:space="preserve">và khoản 7 </w:t>
      </w:r>
      <w:r w:rsidRPr="001C1752">
        <w:rPr>
          <w:lang w:val="nb-NO" w:eastAsia="vi-VN"/>
        </w:rPr>
        <w:t>Điều 1 dự thảo Luật)</w:t>
      </w:r>
    </w:p>
    <w:p w:rsidR="00D260F2" w:rsidRPr="001C1752" w:rsidRDefault="00024BC8" w:rsidP="004E00BD">
      <w:pPr>
        <w:spacing w:before="120" w:after="120"/>
        <w:ind w:firstLine="720"/>
        <w:jc w:val="both"/>
        <w:rPr>
          <w:b/>
          <w:i/>
          <w:lang w:val="nl-NL"/>
        </w:rPr>
      </w:pPr>
      <w:r w:rsidRPr="001C1752">
        <w:rPr>
          <w:b/>
          <w:i/>
          <w:lang w:val="nl-NL"/>
        </w:rPr>
        <w:t>d</w:t>
      </w:r>
      <w:r w:rsidR="00D260F2" w:rsidRPr="001C1752">
        <w:rPr>
          <w:b/>
          <w:i/>
          <w:lang w:val="nl-NL"/>
        </w:rPr>
        <w:t xml:space="preserve">) </w:t>
      </w:r>
      <w:r w:rsidR="00F278E1" w:rsidRPr="001C1752">
        <w:rPr>
          <w:b/>
          <w:i/>
          <w:lang w:val="nl-NL"/>
        </w:rPr>
        <w:t>Về h</w:t>
      </w:r>
      <w:r w:rsidR="00D260F2" w:rsidRPr="001C1752">
        <w:rPr>
          <w:b/>
          <w:i/>
          <w:lang w:val="nl-NL"/>
        </w:rPr>
        <w:t xml:space="preserve">àng hóa là nguyên liệu, vật tư nhập khẩu để </w:t>
      </w:r>
      <w:r w:rsidR="00B21E4A" w:rsidRPr="001C1752">
        <w:rPr>
          <w:b/>
          <w:i/>
          <w:lang w:val="nl-NL"/>
        </w:rPr>
        <w:t xml:space="preserve">trực tiếp </w:t>
      </w:r>
      <w:r w:rsidR="00D260F2" w:rsidRPr="001C1752">
        <w:rPr>
          <w:b/>
          <w:i/>
          <w:lang w:val="nl-NL"/>
        </w:rPr>
        <w:t>gia công hoặc sản xuất hàng hóa xuất khẩu</w:t>
      </w:r>
    </w:p>
    <w:p w:rsidR="00D260F2" w:rsidRPr="001C1752" w:rsidRDefault="007C0105" w:rsidP="004E00BD">
      <w:pPr>
        <w:spacing w:before="120" w:after="120"/>
        <w:ind w:firstLine="720"/>
        <w:jc w:val="both"/>
        <w:rPr>
          <w:lang w:val="nl-NL"/>
        </w:rPr>
      </w:pPr>
      <w:r w:rsidRPr="001C1752">
        <w:rPr>
          <w:lang w:val="nl-NL"/>
        </w:rPr>
        <w:t xml:space="preserve">Tại Luật thuế BVMT không quy định </w:t>
      </w:r>
      <w:r w:rsidR="00D260F2" w:rsidRPr="001C1752">
        <w:rPr>
          <w:lang w:val="nl-NL"/>
        </w:rPr>
        <w:t xml:space="preserve">rõ trường hợp hàng hóa là nguyên liệu, vật tư nhập khẩu để gia công </w:t>
      </w:r>
      <w:r w:rsidR="00ED49BF" w:rsidRPr="001C1752">
        <w:rPr>
          <w:lang w:val="nl-NL"/>
        </w:rPr>
        <w:t>hàng hóa</w:t>
      </w:r>
      <w:r w:rsidR="007A2F83" w:rsidRPr="001C1752">
        <w:rPr>
          <w:lang w:val="nl-NL"/>
        </w:rPr>
        <w:t xml:space="preserve"> </w:t>
      </w:r>
      <w:r w:rsidR="00D260F2" w:rsidRPr="001C1752">
        <w:rPr>
          <w:lang w:val="nl-NL"/>
        </w:rPr>
        <w:t xml:space="preserve">xuất khẩu hoặc để sản xuất hàng hóa xuất khẩu có thuộc đối tượng không chịu thuế hay không? </w:t>
      </w:r>
    </w:p>
    <w:p w:rsidR="00D260F2" w:rsidRPr="001C1752" w:rsidRDefault="00D260F2" w:rsidP="004E00BD">
      <w:pPr>
        <w:spacing w:before="120" w:after="120"/>
        <w:ind w:firstLine="720"/>
        <w:jc w:val="both"/>
        <w:rPr>
          <w:lang w:val="nl-NL"/>
        </w:rPr>
      </w:pPr>
      <w:r w:rsidRPr="001C1752">
        <w:rPr>
          <w:lang w:val="nl-NL"/>
        </w:rPr>
        <w:t>Tại Điều 2 Thông tư số 159/2012/TT-BTC ngày 28/9/2012 của Bộ Tài chính</w:t>
      </w:r>
      <w:r w:rsidR="007A2F83" w:rsidRPr="001C1752">
        <w:rPr>
          <w:lang w:val="nl-NL"/>
        </w:rPr>
        <w:t xml:space="preserve"> quy định nguyên liệu, </w:t>
      </w:r>
      <w:r w:rsidRPr="001C1752">
        <w:rPr>
          <w:lang w:val="nl-NL"/>
        </w:rPr>
        <w:t xml:space="preserve">vật tư nhập khẩu để gia công </w:t>
      </w:r>
      <w:r w:rsidR="00ED49BF" w:rsidRPr="001C1752">
        <w:rPr>
          <w:lang w:val="nl-NL"/>
        </w:rPr>
        <w:t>hàng hóa</w:t>
      </w:r>
      <w:r w:rsidRPr="001C1752">
        <w:rPr>
          <w:lang w:val="nl-NL"/>
        </w:rPr>
        <w:t xml:space="preserve"> xuất khẩu thuộc đối tượng không chịu thuế BVMT. Tuy nhiên, hàng hóa nhập khẩu để gia công </w:t>
      </w:r>
      <w:r w:rsidR="00ED49BF" w:rsidRPr="001C1752">
        <w:rPr>
          <w:lang w:val="nl-NL"/>
        </w:rPr>
        <w:t>hàng hóa</w:t>
      </w:r>
      <w:r w:rsidRPr="001C1752">
        <w:rPr>
          <w:lang w:val="nl-NL"/>
        </w:rPr>
        <w:t xml:space="preserve"> xuất khẩu và hàng hóa nhập khẩu để sản xuất hàng hóa xuất khẩu có bản chất tương tự nhau, do hàng hóa sau đó được xuất khẩu, không tiêu dùng tại Việt Nam, không gây ảnh hưởng đến môi trường Việt Nam.</w:t>
      </w:r>
    </w:p>
    <w:p w:rsidR="00D260F2" w:rsidRPr="001C1752" w:rsidRDefault="00D260F2" w:rsidP="004E00BD">
      <w:pPr>
        <w:spacing w:before="120" w:after="120"/>
        <w:ind w:firstLine="720"/>
        <w:jc w:val="both"/>
        <w:rPr>
          <w:lang w:val="nl-NL"/>
        </w:rPr>
      </w:pPr>
      <w:r w:rsidRPr="001C1752">
        <w:rPr>
          <w:lang w:val="nl-NL"/>
        </w:rPr>
        <w:t xml:space="preserve">Mặt khác, </w:t>
      </w:r>
      <w:r w:rsidR="007A2F83" w:rsidRPr="001C1752">
        <w:rPr>
          <w:lang w:val="nl-NL"/>
        </w:rPr>
        <w:t xml:space="preserve">tại khoản 6 và </w:t>
      </w:r>
      <w:r w:rsidR="00C231E7" w:rsidRPr="001C1752">
        <w:rPr>
          <w:lang w:val="nl-NL"/>
        </w:rPr>
        <w:t xml:space="preserve">khoản </w:t>
      </w:r>
      <w:r w:rsidR="007A2F83" w:rsidRPr="001C1752">
        <w:rPr>
          <w:lang w:val="nl-NL"/>
        </w:rPr>
        <w:t xml:space="preserve">7 Điều 16 </w:t>
      </w:r>
      <w:r w:rsidRPr="001C1752">
        <w:rPr>
          <w:lang w:val="nl-NL"/>
        </w:rPr>
        <w:t xml:space="preserve">Luật </w:t>
      </w:r>
      <w:r w:rsidR="00F4597B" w:rsidRPr="001C1752">
        <w:rPr>
          <w:lang w:val="nl-NL"/>
        </w:rPr>
        <w:t xml:space="preserve">thuế xuất khẩu, thuế nhập khẩu </w:t>
      </w:r>
      <w:r w:rsidRPr="001C1752">
        <w:rPr>
          <w:lang w:val="nl-NL"/>
        </w:rPr>
        <w:t xml:space="preserve">quy định nguyên liệu, vật tư, linh kiện nhập khẩu để gia công sản phẩm xuất khẩu hoặc để sản xuất hàng hóa xuất khẩu thuộc đối tượng miễn thuế nhập khẩu. </w:t>
      </w:r>
    </w:p>
    <w:p w:rsidR="007C0105" w:rsidRPr="001C1752" w:rsidRDefault="00111A87" w:rsidP="004E00BD">
      <w:pPr>
        <w:spacing w:before="120" w:after="120"/>
        <w:ind w:firstLine="720"/>
        <w:jc w:val="both"/>
        <w:rPr>
          <w:i/>
          <w:lang w:val="nl-NL"/>
        </w:rPr>
      </w:pPr>
      <w:r w:rsidRPr="001C1752">
        <w:rPr>
          <w:lang w:val="nl-NL"/>
        </w:rPr>
        <w:t>Đ</w:t>
      </w:r>
      <w:r w:rsidR="00D260F2" w:rsidRPr="001C1752">
        <w:rPr>
          <w:lang w:val="nl-NL"/>
        </w:rPr>
        <w:t>ể</w:t>
      </w:r>
      <w:r w:rsidR="00BF35A9" w:rsidRPr="001C1752">
        <w:rPr>
          <w:lang w:val="nl-NL"/>
        </w:rPr>
        <w:t xml:space="preserve"> đảm bảo nguyên tắc thu thuế BVMT đối với hàng hóa khi sử dụng gây tác động xấu đến môi trường tại Việt Nam và phù hợp với Luật thuế xuất khẩu, thuế nhập khẩu, đề nghị </w:t>
      </w:r>
      <w:r w:rsidR="00D260F2" w:rsidRPr="001C1752">
        <w:rPr>
          <w:lang w:val="nl-NL"/>
        </w:rPr>
        <w:t xml:space="preserve">bổ sung </w:t>
      </w:r>
      <w:r w:rsidR="00EF5EC5" w:rsidRPr="001C1752">
        <w:rPr>
          <w:lang w:val="nl-NL"/>
        </w:rPr>
        <w:t xml:space="preserve">một </w:t>
      </w:r>
      <w:r w:rsidR="00D260F2" w:rsidRPr="001C1752">
        <w:rPr>
          <w:lang w:val="nl-NL"/>
        </w:rPr>
        <w:t xml:space="preserve">điểm vào khoản 2 Điều 4 Luật thuế BVMT về đối tượng không chịu thuế như sau: </w:t>
      </w:r>
      <w:r w:rsidR="00D260F2" w:rsidRPr="001C1752">
        <w:rPr>
          <w:i/>
          <w:lang w:val="nl-NL"/>
        </w:rPr>
        <w:t xml:space="preserve">“Hàng hóa là nguyên liệu, vật tư được nhập khẩu để </w:t>
      </w:r>
      <w:r w:rsidR="00B21E4A" w:rsidRPr="001C1752">
        <w:rPr>
          <w:i/>
          <w:lang w:val="nl-NL"/>
        </w:rPr>
        <w:t xml:space="preserve">trực tiếp </w:t>
      </w:r>
      <w:r w:rsidR="00C54571" w:rsidRPr="001C1752">
        <w:rPr>
          <w:i/>
          <w:lang w:val="nl-NL"/>
        </w:rPr>
        <w:t xml:space="preserve">gia công, </w:t>
      </w:r>
      <w:r w:rsidR="00D260F2" w:rsidRPr="001C1752">
        <w:rPr>
          <w:i/>
          <w:lang w:val="nl-NL"/>
        </w:rPr>
        <w:t>sản xuất hàng hóa xuất khẩu”.</w:t>
      </w:r>
    </w:p>
    <w:p w:rsidR="00D260F2" w:rsidRPr="001C1752" w:rsidRDefault="007C0105" w:rsidP="004E00BD">
      <w:pPr>
        <w:spacing w:before="120" w:after="120"/>
        <w:ind w:firstLine="720"/>
        <w:jc w:val="both"/>
        <w:rPr>
          <w:b/>
          <w:lang w:val="nl-NL"/>
        </w:rPr>
      </w:pPr>
      <w:r w:rsidRPr="001C1752">
        <w:rPr>
          <w:lang w:val="nl-NL"/>
        </w:rPr>
        <w:t xml:space="preserve">(Trường hợp hàng hóa </w:t>
      </w:r>
      <w:r w:rsidR="00161D15" w:rsidRPr="001C1752">
        <w:rPr>
          <w:lang w:val="nl-NL"/>
        </w:rPr>
        <w:t xml:space="preserve">nhập khẩu đã được nộp thuế BVMT, sau đó </w:t>
      </w:r>
      <w:r w:rsidRPr="001C1752">
        <w:rPr>
          <w:lang w:val="nl-NL"/>
        </w:rPr>
        <w:t xml:space="preserve">được tổ chức, cá nhân mua làm nguyên liệu, vật tư để </w:t>
      </w:r>
      <w:r w:rsidR="008E2ACD" w:rsidRPr="001C1752">
        <w:rPr>
          <w:lang w:val="nl-NL"/>
        </w:rPr>
        <w:t xml:space="preserve">gia công, </w:t>
      </w:r>
      <w:r w:rsidRPr="001C1752">
        <w:rPr>
          <w:lang w:val="nl-NL"/>
        </w:rPr>
        <w:t xml:space="preserve">sản xuất </w:t>
      </w:r>
      <w:r w:rsidR="008E2ACD" w:rsidRPr="001C1752">
        <w:rPr>
          <w:lang w:val="nl-NL"/>
        </w:rPr>
        <w:t>hà</w:t>
      </w:r>
      <w:r w:rsidRPr="001C1752">
        <w:rPr>
          <w:lang w:val="nl-NL"/>
        </w:rPr>
        <w:t xml:space="preserve">ng hóa xuất khẩu thuộc trường hợp hoàn thuế BVMT theo </w:t>
      </w:r>
      <w:r w:rsidR="009E57D0" w:rsidRPr="001C1752">
        <w:rPr>
          <w:lang w:val="nl-NL"/>
        </w:rPr>
        <w:t>đề nghị</w:t>
      </w:r>
      <w:r w:rsidRPr="001C1752">
        <w:rPr>
          <w:lang w:val="nl-NL"/>
        </w:rPr>
        <w:t xml:space="preserve"> tại điểm c nêu trên).</w:t>
      </w:r>
    </w:p>
    <w:p w:rsidR="000402F0" w:rsidRPr="001C1752" w:rsidRDefault="000402F0" w:rsidP="004E00BD">
      <w:pPr>
        <w:spacing w:before="120" w:after="120"/>
        <w:ind w:firstLine="720"/>
        <w:jc w:val="both"/>
        <w:rPr>
          <w:b/>
          <w:i/>
          <w:lang w:val="nb-NO" w:eastAsia="vi-VN"/>
        </w:rPr>
      </w:pPr>
      <w:r w:rsidRPr="001C1752">
        <w:rPr>
          <w:lang w:val="nb-NO" w:eastAsia="vi-VN"/>
        </w:rPr>
        <w:t>(Nội dung này thể hiện tại</w:t>
      </w:r>
      <w:r w:rsidR="001A2B39" w:rsidRPr="001C1752">
        <w:rPr>
          <w:lang w:val="nb-NO" w:eastAsia="vi-VN"/>
        </w:rPr>
        <w:t xml:space="preserve"> k</w:t>
      </w:r>
      <w:r w:rsidRPr="001C1752">
        <w:rPr>
          <w:lang w:val="nb-NO" w:eastAsia="vi-VN"/>
        </w:rPr>
        <w:t>hoản 4 Điều 1 dự thảo Luật)</w:t>
      </w:r>
    </w:p>
    <w:p w:rsidR="006B6CC9" w:rsidRPr="001C1752" w:rsidRDefault="000A27B6" w:rsidP="004E00BD">
      <w:pPr>
        <w:spacing w:before="120" w:after="120"/>
        <w:ind w:firstLine="720"/>
        <w:jc w:val="both"/>
        <w:rPr>
          <w:b/>
          <w:lang w:val="nl-NL"/>
        </w:rPr>
      </w:pPr>
      <w:r w:rsidRPr="001C1752">
        <w:rPr>
          <w:b/>
          <w:lang w:val="nl-NL"/>
        </w:rPr>
        <w:t xml:space="preserve">5. </w:t>
      </w:r>
      <w:r w:rsidR="00630C4B" w:rsidRPr="001C1752">
        <w:rPr>
          <w:b/>
          <w:lang w:val="nl-NL"/>
        </w:rPr>
        <w:t>Về p</w:t>
      </w:r>
      <w:r w:rsidRPr="001C1752">
        <w:rPr>
          <w:b/>
          <w:lang w:val="nl-NL"/>
        </w:rPr>
        <w:t>hương pháp tính thuế</w:t>
      </w:r>
    </w:p>
    <w:p w:rsidR="00110E0C" w:rsidRPr="001C1752" w:rsidRDefault="007C0105" w:rsidP="004E00BD">
      <w:pPr>
        <w:spacing w:before="120" w:after="120"/>
        <w:ind w:firstLine="720"/>
        <w:jc w:val="both"/>
        <w:rPr>
          <w:bCs/>
          <w:lang w:val="nl-NL"/>
        </w:rPr>
      </w:pPr>
      <w:r w:rsidRPr="001C1752">
        <w:rPr>
          <w:bCs/>
          <w:lang w:val="nl-NL"/>
        </w:rPr>
        <w:t xml:space="preserve">Quy định tại Điều 7 Luật thuế BVMT về phương pháp tính thuế </w:t>
      </w:r>
      <w:r w:rsidRPr="001C1752">
        <w:rPr>
          <w:bCs/>
          <w:i/>
          <w:lang w:val="nl-NL"/>
        </w:rPr>
        <w:t>(</w:t>
      </w:r>
      <w:r w:rsidRPr="001C1752">
        <w:rPr>
          <w:i/>
          <w:lang w:val="nl-NL"/>
        </w:rPr>
        <w:t>Số thuế bảo vệ môi trường phải nộp bằng số lượng đơn vị hàng hóa chịu thuế nhân với mức thuế tuyệt đối quy định trên một đơn vị hàng hóa)</w:t>
      </w:r>
      <w:r w:rsidRPr="001C1752">
        <w:rPr>
          <w:lang w:val="nl-NL"/>
        </w:rPr>
        <w:t xml:space="preserve"> </w:t>
      </w:r>
      <w:r w:rsidRPr="001C1752">
        <w:rPr>
          <w:bCs/>
          <w:lang w:val="nl-NL"/>
        </w:rPr>
        <w:t xml:space="preserve">là chưa thống nhất với quy định tại khoản 1 Điều 6 Luật thuế BVMT về căn cứ tính thuế </w:t>
      </w:r>
      <w:r w:rsidRPr="001C1752">
        <w:rPr>
          <w:bCs/>
          <w:i/>
          <w:lang w:val="nl-NL"/>
        </w:rPr>
        <w:t>(Căn cứ tính thuế bảo vệ môi trường là số lượng hàng hóa tính thuế và mức thuế tuyệt đối)</w:t>
      </w:r>
      <w:r w:rsidRPr="001C1752">
        <w:rPr>
          <w:bCs/>
          <w:lang w:val="nl-NL"/>
        </w:rPr>
        <w:t xml:space="preserve">. Vì vậy, đề nghị </w:t>
      </w:r>
      <w:r w:rsidR="00110E0C" w:rsidRPr="001C1752">
        <w:rPr>
          <w:bCs/>
          <w:lang w:val="nl-NL"/>
        </w:rPr>
        <w:t xml:space="preserve">thay cụm từ </w:t>
      </w:r>
      <w:r w:rsidR="00110E0C" w:rsidRPr="001C1752">
        <w:rPr>
          <w:bCs/>
          <w:i/>
          <w:lang w:val="nl-NL"/>
        </w:rPr>
        <w:t>“</w:t>
      </w:r>
      <w:r w:rsidR="00110E0C" w:rsidRPr="001C1752">
        <w:rPr>
          <w:i/>
          <w:lang w:val="nl-NL"/>
        </w:rPr>
        <w:t xml:space="preserve">số lượng đơn vị hàng hóa chịu thuế” </w:t>
      </w:r>
      <w:r w:rsidRPr="001C1752">
        <w:rPr>
          <w:bCs/>
          <w:lang w:val="nl-NL"/>
        </w:rPr>
        <w:t xml:space="preserve">tại Điều 7 Luật thuế BVMT </w:t>
      </w:r>
      <w:r w:rsidR="00110E0C" w:rsidRPr="001C1752">
        <w:rPr>
          <w:bCs/>
          <w:lang w:val="nl-NL"/>
        </w:rPr>
        <w:t>bằng cụm từ</w:t>
      </w:r>
      <w:r w:rsidRPr="001C1752">
        <w:rPr>
          <w:lang w:val="nl-NL"/>
        </w:rPr>
        <w:t xml:space="preserve"> </w:t>
      </w:r>
      <w:r w:rsidR="00110E0C" w:rsidRPr="001C1752">
        <w:rPr>
          <w:i/>
          <w:lang w:val="nl-NL"/>
        </w:rPr>
        <w:t>“</w:t>
      </w:r>
      <w:r w:rsidRPr="001C1752">
        <w:rPr>
          <w:i/>
          <w:lang w:val="nl-NL"/>
        </w:rPr>
        <w:t>số lượng hàng hóa tính thuế</w:t>
      </w:r>
      <w:r w:rsidR="00110E0C" w:rsidRPr="001C1752">
        <w:rPr>
          <w:i/>
          <w:lang w:val="nl-NL"/>
        </w:rPr>
        <w:t>”</w:t>
      </w:r>
      <w:r w:rsidRPr="001C1752">
        <w:rPr>
          <w:lang w:val="nl-NL"/>
        </w:rPr>
        <w:t xml:space="preserve"> </w:t>
      </w:r>
      <w:r w:rsidR="00110E0C" w:rsidRPr="001C1752">
        <w:rPr>
          <w:lang w:val="nl-NL"/>
        </w:rPr>
        <w:t xml:space="preserve">cho phù hợp với quy định tại Điều 6 </w:t>
      </w:r>
      <w:r w:rsidR="00110E0C" w:rsidRPr="001C1752">
        <w:rPr>
          <w:bCs/>
          <w:lang w:val="nl-NL"/>
        </w:rPr>
        <w:t>Luật thuế BVMT.</w:t>
      </w:r>
    </w:p>
    <w:p w:rsidR="00275BB3" w:rsidRPr="001C1752" w:rsidRDefault="00275BB3" w:rsidP="004E00BD">
      <w:pPr>
        <w:spacing w:before="120" w:after="120"/>
        <w:ind w:firstLine="720"/>
        <w:jc w:val="both"/>
        <w:rPr>
          <w:b/>
          <w:i/>
          <w:lang w:val="nb-NO" w:eastAsia="vi-VN"/>
        </w:rPr>
      </w:pPr>
      <w:r w:rsidRPr="001C1752">
        <w:rPr>
          <w:lang w:val="nb-NO" w:eastAsia="vi-VN"/>
        </w:rPr>
        <w:t>(Nội dung này thể hiện tại</w:t>
      </w:r>
      <w:r w:rsidR="00961920" w:rsidRPr="001C1752">
        <w:rPr>
          <w:lang w:val="nb-NO" w:eastAsia="vi-VN"/>
        </w:rPr>
        <w:t xml:space="preserve"> k</w:t>
      </w:r>
      <w:r w:rsidRPr="001C1752">
        <w:rPr>
          <w:lang w:val="nb-NO" w:eastAsia="vi-VN"/>
        </w:rPr>
        <w:t xml:space="preserve">hoản </w:t>
      </w:r>
      <w:r w:rsidR="005C1D7E" w:rsidRPr="001C1752">
        <w:rPr>
          <w:lang w:val="nb-NO" w:eastAsia="vi-VN"/>
        </w:rPr>
        <w:t>5</w:t>
      </w:r>
      <w:r w:rsidRPr="001C1752">
        <w:rPr>
          <w:lang w:val="nb-NO" w:eastAsia="vi-VN"/>
        </w:rPr>
        <w:t xml:space="preserve"> Điều 1 dự thảo Luật)</w:t>
      </w:r>
    </w:p>
    <w:p w:rsidR="006B6CC9" w:rsidRPr="001C1752" w:rsidRDefault="00630C4B" w:rsidP="004E00BD">
      <w:pPr>
        <w:spacing w:before="120" w:after="120"/>
        <w:ind w:firstLine="720"/>
        <w:jc w:val="both"/>
        <w:rPr>
          <w:b/>
          <w:lang w:val="nl-NL"/>
        </w:rPr>
      </w:pPr>
      <w:r w:rsidRPr="001C1752">
        <w:rPr>
          <w:b/>
          <w:lang w:val="nl-NL"/>
        </w:rPr>
        <w:t xml:space="preserve">6. </w:t>
      </w:r>
      <w:r w:rsidR="006B6CC9" w:rsidRPr="001C1752">
        <w:rPr>
          <w:b/>
          <w:lang w:val="nl-NL"/>
        </w:rPr>
        <w:t>Về biểu khung thuế</w:t>
      </w:r>
    </w:p>
    <w:p w:rsidR="006B6CC9" w:rsidRPr="001C1752" w:rsidRDefault="00BD32E9" w:rsidP="004E00BD">
      <w:pPr>
        <w:spacing w:before="120" w:after="120"/>
        <w:ind w:firstLine="720"/>
        <w:jc w:val="both"/>
        <w:rPr>
          <w:b/>
          <w:i/>
          <w:lang w:val="nl-NL"/>
        </w:rPr>
      </w:pPr>
      <w:r w:rsidRPr="001C1752">
        <w:rPr>
          <w:b/>
          <w:i/>
          <w:lang w:val="nl-NL"/>
        </w:rPr>
        <w:t xml:space="preserve">a) </w:t>
      </w:r>
      <w:r w:rsidR="00515F3C" w:rsidRPr="001C1752">
        <w:rPr>
          <w:b/>
          <w:i/>
          <w:lang w:val="nl-NL"/>
        </w:rPr>
        <w:t>Đối với x</w:t>
      </w:r>
      <w:r w:rsidRPr="001C1752">
        <w:rPr>
          <w:b/>
          <w:i/>
          <w:lang w:val="nl-NL"/>
        </w:rPr>
        <w:t>ăng</w:t>
      </w:r>
      <w:r w:rsidR="0077705F" w:rsidRPr="001C1752">
        <w:rPr>
          <w:b/>
          <w:i/>
          <w:lang w:val="nl-NL"/>
        </w:rPr>
        <w:t>,</w:t>
      </w:r>
      <w:r w:rsidRPr="001C1752">
        <w:rPr>
          <w:b/>
          <w:i/>
          <w:lang w:val="nl-NL"/>
        </w:rPr>
        <w:t xml:space="preserve"> dầu</w:t>
      </w:r>
      <w:r w:rsidR="0077705F" w:rsidRPr="001C1752">
        <w:rPr>
          <w:b/>
          <w:i/>
          <w:lang w:val="nl-NL"/>
        </w:rPr>
        <w:t>, mỡ nhờn</w:t>
      </w:r>
    </w:p>
    <w:p w:rsidR="00C72D60" w:rsidRPr="001C1752" w:rsidRDefault="006B6CC9" w:rsidP="004E00BD">
      <w:pPr>
        <w:spacing w:before="120" w:after="120"/>
        <w:ind w:firstLine="720"/>
        <w:jc w:val="both"/>
        <w:rPr>
          <w:lang w:val="sq-AL"/>
        </w:rPr>
      </w:pPr>
      <w:r w:rsidRPr="001C1752">
        <w:rPr>
          <w:lang w:val="sv-SE"/>
        </w:rPr>
        <w:t>M</w:t>
      </w:r>
      <w:r w:rsidRPr="001C1752">
        <w:rPr>
          <w:lang w:val="nl-NL" w:eastAsia="vi-VN"/>
        </w:rPr>
        <w:t>ức thuế BVMT đối với xăng</w:t>
      </w:r>
      <w:r w:rsidR="001D00D0" w:rsidRPr="001C1752">
        <w:rPr>
          <w:lang w:val="nl-NL" w:eastAsia="vi-VN"/>
        </w:rPr>
        <w:t>,</w:t>
      </w:r>
      <w:r w:rsidRPr="001C1752">
        <w:rPr>
          <w:lang w:val="nl-NL" w:eastAsia="vi-VN"/>
        </w:rPr>
        <w:t xml:space="preserve"> dầu</w:t>
      </w:r>
      <w:r w:rsidR="001D00D0" w:rsidRPr="001C1752">
        <w:rPr>
          <w:lang w:val="nl-NL" w:eastAsia="vi-VN"/>
        </w:rPr>
        <w:t>, mỡ nhờn</w:t>
      </w:r>
      <w:r w:rsidRPr="001C1752">
        <w:rPr>
          <w:lang w:val="nl-NL" w:eastAsia="vi-VN"/>
        </w:rPr>
        <w:t xml:space="preserve"> đã bằng </w:t>
      </w:r>
      <w:r w:rsidR="00BD32E9" w:rsidRPr="001C1752">
        <w:rPr>
          <w:lang w:val="nl-NL" w:eastAsia="vi-VN"/>
        </w:rPr>
        <w:t xml:space="preserve">mức tối đa trong khung thuế </w:t>
      </w:r>
      <w:r w:rsidRPr="001C1752">
        <w:rPr>
          <w:lang w:val="nl-NL" w:eastAsia="vi-VN"/>
        </w:rPr>
        <w:t xml:space="preserve">(đối với nhiên liệu bay) hoặc gần bằng mức tối đa trong khung thuế. Theo đó, trường hợp cần thiết phải điều chỉnh mức thuế BVMT đối với xăng </w:t>
      </w:r>
      <w:r w:rsidRPr="001C1752">
        <w:rPr>
          <w:lang w:val="nl-NL" w:eastAsia="vi-VN"/>
        </w:rPr>
        <w:lastRenderedPageBreak/>
        <w:t xml:space="preserve">dầu để phù hợp với chính sách phát triển kinh tế - xã hội của nhà nước trong từng thời kỳ là rất khó, đặc biệt trong điều kiện </w:t>
      </w:r>
      <w:r w:rsidRPr="001C1752">
        <w:rPr>
          <w:lang w:val="nl-NL"/>
        </w:rPr>
        <w:t>phải cắt giảm dần thuế nhập khẩu đối với xăng dầu theo cam kết quốc tế</w:t>
      </w:r>
      <w:r w:rsidR="00C72D60" w:rsidRPr="001C1752">
        <w:rPr>
          <w:lang w:val="nl-NL"/>
        </w:rPr>
        <w:t xml:space="preserve">; </w:t>
      </w:r>
      <w:r w:rsidRPr="001C1752">
        <w:rPr>
          <w:lang w:val="nl-NL"/>
        </w:rPr>
        <w:t>và giá xăng dầu của Việt Nam hiện đang thấp hơn so với giá xăng dầu của các nước có chung đường biên giới nói riêng và nhiều nước khác trong khu vực ASEAN và Châu Á nói chung</w:t>
      </w:r>
      <w:r w:rsidR="00A20D04" w:rsidRPr="001C1752">
        <w:rPr>
          <w:lang w:val="nl-NL"/>
        </w:rPr>
        <w:t>.</w:t>
      </w:r>
    </w:p>
    <w:p w:rsidR="004668A8" w:rsidRPr="001C1752" w:rsidRDefault="00A36047" w:rsidP="004E00BD">
      <w:pPr>
        <w:spacing w:before="120" w:after="120"/>
        <w:ind w:firstLine="720"/>
        <w:jc w:val="both"/>
        <w:rPr>
          <w:lang w:val="nl-NL" w:eastAsia="vi-VN"/>
        </w:rPr>
      </w:pPr>
      <w:r w:rsidRPr="001C1752">
        <w:rPr>
          <w:lang w:val="nl-NL" w:eastAsia="vi-VN"/>
        </w:rPr>
        <w:t>Trên cơ sở</w:t>
      </w:r>
      <w:r w:rsidR="009276DB" w:rsidRPr="001C1752">
        <w:rPr>
          <w:lang w:val="nl-NL" w:eastAsia="vi-VN"/>
        </w:rPr>
        <w:t xml:space="preserve"> tính toán t</w:t>
      </w:r>
      <w:r w:rsidR="00524176" w:rsidRPr="001C1752">
        <w:rPr>
          <w:lang w:val="nl-NL" w:eastAsia="vi-VN"/>
        </w:rPr>
        <w:t>rên các yếu tố</w:t>
      </w:r>
      <w:r w:rsidR="009276DB" w:rsidRPr="001C1752">
        <w:rPr>
          <w:lang w:val="nl-NL" w:eastAsia="vi-VN"/>
        </w:rPr>
        <w:t>:</w:t>
      </w:r>
      <w:r w:rsidR="004F2C11" w:rsidRPr="001C1752">
        <w:rPr>
          <w:lang w:val="nl-NL" w:eastAsia="vi-VN"/>
        </w:rPr>
        <w:t xml:space="preserve"> </w:t>
      </w:r>
    </w:p>
    <w:p w:rsidR="004668A8" w:rsidRPr="001C1752" w:rsidRDefault="009276DB" w:rsidP="004E00BD">
      <w:pPr>
        <w:spacing w:before="120" w:after="120"/>
        <w:ind w:firstLine="720"/>
        <w:jc w:val="both"/>
        <w:rPr>
          <w:lang w:val="nl-NL"/>
        </w:rPr>
      </w:pPr>
      <w:r w:rsidRPr="001C1752">
        <w:rPr>
          <w:lang w:val="nl-NL"/>
        </w:rPr>
        <w:t>(i) Việc thực hiện cắt giảm dần thuế nhập khẩu theo cam kết trong các hiệp định thương mại tự do (Hiện nay, Việt Nam đã và đang tham gia 11 Hiệp định thương mại tự do</w:t>
      </w:r>
      <w:r w:rsidR="004F2C11" w:rsidRPr="001C1752">
        <w:rPr>
          <w:lang w:val="nl-NL"/>
        </w:rPr>
        <w:t xml:space="preserve">); </w:t>
      </w:r>
    </w:p>
    <w:p w:rsidR="007C0105" w:rsidRPr="000E37D4" w:rsidRDefault="004F2C11" w:rsidP="004E00BD">
      <w:pPr>
        <w:spacing w:before="120" w:after="120"/>
        <w:ind w:firstLine="720"/>
        <w:jc w:val="both"/>
        <w:rPr>
          <w:lang w:val="nl-NL"/>
        </w:rPr>
      </w:pPr>
      <w:r w:rsidRPr="001C1752">
        <w:rPr>
          <w:lang w:val="nl-NL"/>
        </w:rPr>
        <w:t>(</w:t>
      </w:r>
      <w:r w:rsidR="009276DB" w:rsidRPr="001C1752">
        <w:rPr>
          <w:lang w:val="nl-NL"/>
        </w:rPr>
        <w:t xml:space="preserve">ii) </w:t>
      </w:r>
      <w:r w:rsidR="007C0105" w:rsidRPr="001C1752">
        <w:rPr>
          <w:lang w:val="nl-NL"/>
        </w:rPr>
        <w:t>Hiện nay, giá bán lẻ xăng dầu ở Việt Nam cơ bản đang thấp hơn so với các nước có chung đường biên giới nói riêng và nhiều nước khác trong khu vực ASEAN. Theo bảng xếp hạng của trang web Global Petrol Prices vào ngày 8/5/2017 thì giá bán lẻ xăng dầu của Việt Nam đang ở mức thấp (trong 170 nước thì Việt Nam đứng thứ 44 từ thấp đến cao, nghĩa là có 126 nước có giá bán lẻ xăng dầu cao hơn Việt Nam, trong đó Philippines đứng thứ 60, Campuchia đứng thứ 61, Thái Lan đứng thứ 82, Lào đứng thứ 93). Với mức giá bán lẻ xăng Ron92 của Việt Nam (giá bán lẻ xăng Ron92 vùng 1 của Petrolimex) cập nhật đến ngày 8/5/2017 là 17.580 đồng/lít; thấp hơn Lào là 4.456 đồng/lít, Campuchia là 3.768 đồng/</w:t>
      </w:r>
      <w:r w:rsidR="007C0105" w:rsidRPr="000E37D4">
        <w:rPr>
          <w:lang w:val="nl-NL"/>
        </w:rPr>
        <w:t xml:space="preserve">lít, Singapore là 16.528 đồng/lít, Philippines là 3.613 đồng/lít, Hồng Kông là 27.231 đồng/lít. </w:t>
      </w:r>
    </w:p>
    <w:p w:rsidR="004668A8" w:rsidRPr="000E37D4" w:rsidRDefault="009276DB" w:rsidP="004E00BD">
      <w:pPr>
        <w:spacing w:before="120" w:after="120"/>
        <w:ind w:firstLine="720"/>
        <w:jc w:val="both"/>
        <w:rPr>
          <w:lang w:val="sq-AL"/>
        </w:rPr>
      </w:pPr>
      <w:r w:rsidRPr="000E37D4">
        <w:rPr>
          <w:lang w:val="nl-NL"/>
        </w:rPr>
        <w:t xml:space="preserve">(iii) </w:t>
      </w:r>
      <w:r w:rsidR="007C0105" w:rsidRPr="000E37D4">
        <w:rPr>
          <w:lang w:val="nl-NL"/>
        </w:rPr>
        <w:t xml:space="preserve">Tỷ lệ thuế </w:t>
      </w:r>
      <w:r w:rsidR="007C0105" w:rsidRPr="000E37D4">
        <w:rPr>
          <w:i/>
          <w:lang w:val="nl-NL"/>
        </w:rPr>
        <w:t>(gồm: thuế nhập khẩu, thuế TTĐB, thuế BVMT, thuế GTGT)</w:t>
      </w:r>
      <w:r w:rsidR="007C0105" w:rsidRPr="000E37D4">
        <w:rPr>
          <w:lang w:val="nl-NL"/>
        </w:rPr>
        <w:t xml:space="preserve"> trên giá cơ sở của Việt Nam đang ở mức thấp </w:t>
      </w:r>
      <w:r w:rsidR="001053AC" w:rsidRPr="000E37D4">
        <w:rPr>
          <w:lang w:val="nl-NL"/>
        </w:rPr>
        <w:t xml:space="preserve">(37,49% đối với xăng; 20,76% đối với dầu diesel; 11,59% đối với dầu hỏa; và 19,13% đối với dầu mazút) </w:t>
      </w:r>
      <w:r w:rsidR="007C0105" w:rsidRPr="000E37D4">
        <w:rPr>
          <w:lang w:val="nl-NL"/>
        </w:rPr>
        <w:t>so với nhiều nước (</w:t>
      </w:r>
      <w:r w:rsidR="007C0105" w:rsidRPr="000E37D4">
        <w:rPr>
          <w:lang w:val="sq-AL"/>
        </w:rPr>
        <w:t>Hàn Quốc khoảng 70,3%; Campuchia khoảng 40%; Lào khoảng 56%</w:t>
      </w:r>
      <w:r w:rsidR="00865E57">
        <w:rPr>
          <w:lang w:val="sq-AL"/>
        </w:rPr>
        <w:t xml:space="preserve">, </w:t>
      </w:r>
      <w:r w:rsidR="00865E57" w:rsidRPr="00204671">
        <w:rPr>
          <w:rFonts w:asciiTheme="majorHAnsi" w:hAnsiTheme="majorHAnsi" w:cstheme="majorHAnsi"/>
          <w:bdr w:val="none" w:sz="0" w:space="0" w:color="auto" w:frame="1"/>
          <w:lang w:val="sq-AL"/>
        </w:rPr>
        <w:t>Philipines khoảng 62%; Nga khoảng 52%; Mỹ khoảng 53%, Hồng Kông khoảng 83,%, Thái Lan khoảng 67%</w:t>
      </w:r>
      <w:r w:rsidR="007C0105" w:rsidRPr="000E37D4">
        <w:rPr>
          <w:lang w:val="sq-AL"/>
        </w:rPr>
        <w:t>).</w:t>
      </w:r>
    </w:p>
    <w:p w:rsidR="00CC00D6" w:rsidRDefault="004668A8" w:rsidP="004E00BD">
      <w:pPr>
        <w:spacing w:before="120" w:after="120"/>
        <w:ind w:firstLine="720"/>
        <w:jc w:val="both"/>
        <w:rPr>
          <w:rFonts w:eastAsia="Arial"/>
          <w:lang w:val="nl-NL" w:eastAsia="vi-VN"/>
        </w:rPr>
      </w:pPr>
      <w:r w:rsidRPr="001C1752">
        <w:rPr>
          <w:lang w:val="sq-AL"/>
        </w:rPr>
        <w:t xml:space="preserve">Theo đó, </w:t>
      </w:r>
      <w:r w:rsidR="006B6CC9" w:rsidRPr="001C1752">
        <w:rPr>
          <w:lang w:val="nl-NL" w:eastAsia="vi-VN"/>
        </w:rPr>
        <w:t>đề nghị</w:t>
      </w:r>
      <w:r w:rsidR="00524176" w:rsidRPr="001C1752">
        <w:rPr>
          <w:lang w:val="nl-NL" w:eastAsia="vi-VN"/>
        </w:rPr>
        <w:t xml:space="preserve"> đ</w:t>
      </w:r>
      <w:r w:rsidR="006B6CC9" w:rsidRPr="001C1752">
        <w:rPr>
          <w:rFonts w:eastAsia="Arial"/>
          <w:lang w:val="nl-NL"/>
        </w:rPr>
        <w:t xml:space="preserve">iều chỉnh khung thuế BVMT đối với xăng, dầu, mỡ nhờn như sau: mức thuế tối thiểu </w:t>
      </w:r>
      <w:r w:rsidR="00F25A10" w:rsidRPr="001C1752">
        <w:rPr>
          <w:rFonts w:eastAsia="Arial"/>
          <w:lang w:val="nl-NL"/>
        </w:rPr>
        <w:t xml:space="preserve">điều chỉnh tăng </w:t>
      </w:r>
      <w:r w:rsidR="006B6CC9" w:rsidRPr="001C1752">
        <w:rPr>
          <w:rFonts w:eastAsia="Arial"/>
          <w:lang w:val="nl-NL"/>
        </w:rPr>
        <w:t>bằng mức thuế cụ thể đang áp dụng; mức</w:t>
      </w:r>
      <w:r w:rsidR="006B6CC9" w:rsidRPr="001C1752">
        <w:rPr>
          <w:lang w:val="nl-NL"/>
        </w:rPr>
        <w:t xml:space="preserve"> thuế tối đa </w:t>
      </w:r>
      <w:r w:rsidR="002703C9" w:rsidRPr="001C1752">
        <w:rPr>
          <w:lang w:val="nl-NL"/>
        </w:rPr>
        <w:t xml:space="preserve">điều chỉnh tăng </w:t>
      </w:r>
      <w:r w:rsidR="006B6CC9" w:rsidRPr="001C1752">
        <w:rPr>
          <w:lang w:val="nl-NL"/>
        </w:rPr>
        <w:t>bằng 2 lần mức thuế tối đa trong khung thuế hiện hành</w:t>
      </w:r>
      <w:r w:rsidR="00D15FF0">
        <w:rPr>
          <w:lang w:val="nl-NL"/>
        </w:rPr>
        <w:t xml:space="preserve"> (khung thu</w:t>
      </w:r>
      <w:r w:rsidR="00D15FF0" w:rsidRPr="00D15FF0">
        <w:rPr>
          <w:lang w:val="nl-NL"/>
        </w:rPr>
        <w:t>ế</w:t>
      </w:r>
      <w:r w:rsidR="00D15FF0">
        <w:rPr>
          <w:lang w:val="nl-NL"/>
        </w:rPr>
        <w:t xml:space="preserve"> </w:t>
      </w:r>
      <w:r w:rsidR="00D15FF0" w:rsidRPr="00D15FF0">
        <w:rPr>
          <w:lang w:val="nl-NL"/>
        </w:rPr>
        <w:t>áp</w:t>
      </w:r>
      <w:r w:rsidR="00D15FF0">
        <w:rPr>
          <w:lang w:val="nl-NL"/>
        </w:rPr>
        <w:t xml:space="preserve"> d</w:t>
      </w:r>
      <w:r w:rsidR="00D15FF0" w:rsidRPr="00D15FF0">
        <w:rPr>
          <w:lang w:val="nl-NL"/>
        </w:rPr>
        <w:t>ụng</w:t>
      </w:r>
      <w:r w:rsidR="00D15FF0">
        <w:rPr>
          <w:lang w:val="nl-NL"/>
        </w:rPr>
        <w:t xml:space="preserve"> cho l</w:t>
      </w:r>
      <w:r w:rsidR="00D15FF0" w:rsidRPr="00D15FF0">
        <w:rPr>
          <w:lang w:val="nl-NL"/>
        </w:rPr>
        <w:t>ộ</w:t>
      </w:r>
      <w:r w:rsidR="00D15FF0">
        <w:rPr>
          <w:lang w:val="nl-NL"/>
        </w:rPr>
        <w:t xml:space="preserve"> tr</w:t>
      </w:r>
      <w:r w:rsidR="00D15FF0" w:rsidRPr="00D15FF0">
        <w:rPr>
          <w:lang w:val="nl-NL"/>
        </w:rPr>
        <w:t>ìn</w:t>
      </w:r>
      <w:r w:rsidR="00D15FF0">
        <w:rPr>
          <w:lang w:val="nl-NL"/>
        </w:rPr>
        <w:t>h d</w:t>
      </w:r>
      <w:r w:rsidR="00D15FF0" w:rsidRPr="00D15FF0">
        <w:rPr>
          <w:lang w:val="nl-NL"/>
        </w:rPr>
        <w:t>à</w:t>
      </w:r>
      <w:r w:rsidR="00D15FF0">
        <w:rPr>
          <w:lang w:val="nl-NL"/>
        </w:rPr>
        <w:t>i)</w:t>
      </w:r>
      <w:r w:rsidR="006B6CC9" w:rsidRPr="001C1752">
        <w:rPr>
          <w:lang w:val="nl-NL"/>
        </w:rPr>
        <w:t>.</w:t>
      </w:r>
      <w:r w:rsidR="00524176" w:rsidRPr="001C1752">
        <w:rPr>
          <w:lang w:val="nl-NL"/>
        </w:rPr>
        <w:t xml:space="preserve"> Riêng đối với dầu hỏa, đề nghị gi</w:t>
      </w:r>
      <w:r w:rsidR="006B6CC9" w:rsidRPr="001C1752">
        <w:rPr>
          <w:rFonts w:eastAsia="Arial"/>
          <w:lang w:val="nl-NL"/>
        </w:rPr>
        <w:t xml:space="preserve">ữ khung thuế BVMT </w:t>
      </w:r>
      <w:r w:rsidR="00524176" w:rsidRPr="001C1752">
        <w:rPr>
          <w:rFonts w:eastAsia="Arial"/>
          <w:lang w:val="nl-NL"/>
        </w:rPr>
        <w:t xml:space="preserve">như </w:t>
      </w:r>
      <w:r w:rsidR="006B6CC9" w:rsidRPr="001C1752">
        <w:rPr>
          <w:rFonts w:eastAsia="Arial"/>
          <w:lang w:val="nl-NL"/>
        </w:rPr>
        <w:t xml:space="preserve">hiện hành </w:t>
      </w:r>
      <w:r w:rsidR="00524176" w:rsidRPr="001C1752">
        <w:rPr>
          <w:rFonts w:eastAsia="Arial"/>
          <w:lang w:val="nl-NL"/>
        </w:rPr>
        <w:t>vì</w:t>
      </w:r>
      <w:r w:rsidR="006B6CC9" w:rsidRPr="001C1752">
        <w:rPr>
          <w:rFonts w:eastAsia="Arial"/>
          <w:lang w:val="nl-NL"/>
        </w:rPr>
        <w:t xml:space="preserve"> </w:t>
      </w:r>
      <w:r w:rsidR="006B6CC9" w:rsidRPr="001C1752">
        <w:rPr>
          <w:rFonts w:eastAsia="Arial"/>
          <w:lang w:val="nl-NL" w:eastAsia="vi-VN"/>
        </w:rPr>
        <w:t>dầu hỏa là mặt hàng thiết yếu phục vụ cho đa số người nghèo, đồng bào dân tộc thiểu số ở</w:t>
      </w:r>
      <w:r w:rsidR="005D787F" w:rsidRPr="001C1752">
        <w:rPr>
          <w:rFonts w:eastAsia="Arial"/>
          <w:lang w:val="nl-NL" w:eastAsia="vi-VN"/>
        </w:rPr>
        <w:t xml:space="preserve"> vùng sâu, vùng xa.</w:t>
      </w:r>
      <w:r w:rsidR="00F65957" w:rsidRPr="001C1752">
        <w:rPr>
          <w:rFonts w:eastAsia="Arial"/>
          <w:lang w:val="nl-NL" w:eastAsia="vi-VN"/>
        </w:rPr>
        <w:t xml:space="preserve"> </w:t>
      </w:r>
      <w:r w:rsidR="00CC00D6" w:rsidRPr="001C1752">
        <w:rPr>
          <w:rFonts w:eastAsia="Arial"/>
          <w:lang w:val="nl-NL" w:eastAsia="vi-VN"/>
        </w:rPr>
        <w:t>Cụ thể: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970"/>
        <w:gridCol w:w="899"/>
        <w:gridCol w:w="1794"/>
        <w:gridCol w:w="1843"/>
      </w:tblGrid>
      <w:tr w:rsidR="00CC00D6" w:rsidRPr="007F0216" w:rsidTr="00273B93">
        <w:trPr>
          <w:trHeight w:val="813"/>
          <w:tblHeader/>
        </w:trPr>
        <w:tc>
          <w:tcPr>
            <w:tcW w:w="708" w:type="dxa"/>
            <w:vMerge w:val="restart"/>
            <w:vAlign w:val="center"/>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STT</w:t>
            </w:r>
          </w:p>
        </w:tc>
        <w:tc>
          <w:tcPr>
            <w:tcW w:w="3970" w:type="dxa"/>
            <w:vMerge w:val="restart"/>
            <w:vAlign w:val="center"/>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Hàng hóa</w:t>
            </w:r>
          </w:p>
        </w:tc>
        <w:tc>
          <w:tcPr>
            <w:tcW w:w="899" w:type="dxa"/>
            <w:vMerge w:val="restart"/>
            <w:vAlign w:val="center"/>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Đơn vị tính</w:t>
            </w:r>
          </w:p>
        </w:tc>
        <w:tc>
          <w:tcPr>
            <w:tcW w:w="3637" w:type="dxa"/>
            <w:gridSpan w:val="2"/>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Khung mức thuế</w:t>
            </w:r>
          </w:p>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(đồng/1 đơn vị hàng hóa)</w:t>
            </w:r>
          </w:p>
        </w:tc>
      </w:tr>
      <w:tr w:rsidR="00CC00D6" w:rsidRPr="001C1752" w:rsidTr="00273B93">
        <w:trPr>
          <w:trHeight w:val="439"/>
          <w:tblHeader/>
        </w:trPr>
        <w:tc>
          <w:tcPr>
            <w:tcW w:w="708" w:type="dxa"/>
            <w:vMerge/>
            <w:vAlign w:val="center"/>
          </w:tcPr>
          <w:p w:rsidR="00CC00D6" w:rsidRPr="001C1752" w:rsidRDefault="00CC00D6" w:rsidP="004E00BD">
            <w:pPr>
              <w:spacing w:before="120" w:after="120"/>
              <w:jc w:val="center"/>
              <w:rPr>
                <w:b/>
                <w:sz w:val="26"/>
                <w:szCs w:val="26"/>
                <w:lang w:val="nl-NL" w:eastAsia="vi-VN"/>
              </w:rPr>
            </w:pPr>
          </w:p>
        </w:tc>
        <w:tc>
          <w:tcPr>
            <w:tcW w:w="3970" w:type="dxa"/>
            <w:vMerge/>
            <w:vAlign w:val="center"/>
          </w:tcPr>
          <w:p w:rsidR="00CC00D6" w:rsidRPr="001C1752" w:rsidRDefault="00CC00D6" w:rsidP="004E00BD">
            <w:pPr>
              <w:spacing w:before="120" w:after="120"/>
              <w:rPr>
                <w:b/>
                <w:sz w:val="26"/>
                <w:szCs w:val="26"/>
                <w:lang w:val="nl-NL" w:eastAsia="vi-VN"/>
              </w:rPr>
            </w:pPr>
          </w:p>
        </w:tc>
        <w:tc>
          <w:tcPr>
            <w:tcW w:w="899" w:type="dxa"/>
            <w:vMerge/>
            <w:vAlign w:val="center"/>
          </w:tcPr>
          <w:p w:rsidR="00CC00D6" w:rsidRPr="001C1752" w:rsidRDefault="00CC00D6" w:rsidP="004E00BD">
            <w:pPr>
              <w:spacing w:before="120" w:after="120"/>
              <w:jc w:val="center"/>
              <w:rPr>
                <w:b/>
                <w:sz w:val="26"/>
                <w:szCs w:val="26"/>
                <w:lang w:val="nl-NL" w:eastAsia="vi-VN"/>
              </w:rPr>
            </w:pPr>
          </w:p>
        </w:tc>
        <w:tc>
          <w:tcPr>
            <w:tcW w:w="1794" w:type="dxa"/>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Hiện hành</w:t>
            </w:r>
          </w:p>
        </w:tc>
        <w:tc>
          <w:tcPr>
            <w:tcW w:w="1843" w:type="dxa"/>
            <w:vAlign w:val="center"/>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Dự kiến điều chỉnh</w:t>
            </w:r>
          </w:p>
        </w:tc>
      </w:tr>
      <w:tr w:rsidR="00CC00D6" w:rsidRPr="007F0216" w:rsidTr="00273B93">
        <w:tc>
          <w:tcPr>
            <w:tcW w:w="708" w:type="dxa"/>
            <w:vAlign w:val="center"/>
          </w:tcPr>
          <w:p w:rsidR="00CC00D6" w:rsidRPr="001C1752" w:rsidRDefault="00CC00D6" w:rsidP="004E00BD">
            <w:pPr>
              <w:spacing w:before="120" w:after="120"/>
              <w:jc w:val="center"/>
              <w:rPr>
                <w:b/>
                <w:sz w:val="26"/>
                <w:szCs w:val="26"/>
                <w:lang w:val="nl-NL" w:eastAsia="vi-VN"/>
              </w:rPr>
            </w:pPr>
            <w:r w:rsidRPr="001C1752">
              <w:rPr>
                <w:b/>
                <w:sz w:val="26"/>
                <w:szCs w:val="26"/>
                <w:lang w:val="nl-NL" w:eastAsia="vi-VN"/>
              </w:rPr>
              <w:t>I</w:t>
            </w:r>
          </w:p>
        </w:tc>
        <w:tc>
          <w:tcPr>
            <w:tcW w:w="3970" w:type="dxa"/>
            <w:vAlign w:val="center"/>
          </w:tcPr>
          <w:p w:rsidR="00CC00D6" w:rsidRPr="001C1752" w:rsidRDefault="00CC00D6" w:rsidP="004E00BD">
            <w:pPr>
              <w:spacing w:before="120" w:after="120"/>
              <w:rPr>
                <w:b/>
                <w:sz w:val="26"/>
                <w:szCs w:val="26"/>
                <w:lang w:val="nl-NL" w:eastAsia="vi-VN"/>
              </w:rPr>
            </w:pPr>
            <w:r w:rsidRPr="001C1752">
              <w:rPr>
                <w:b/>
                <w:sz w:val="26"/>
                <w:szCs w:val="26"/>
                <w:lang w:val="nl-NL" w:eastAsia="vi-VN"/>
              </w:rPr>
              <w:t>Xăng, dầu, mỡ nhờn, bao gồm</w:t>
            </w:r>
          </w:p>
        </w:tc>
        <w:tc>
          <w:tcPr>
            <w:tcW w:w="899" w:type="dxa"/>
            <w:vAlign w:val="center"/>
          </w:tcPr>
          <w:p w:rsidR="00CC00D6" w:rsidRPr="001C1752" w:rsidRDefault="00CC00D6" w:rsidP="004E00BD">
            <w:pPr>
              <w:spacing w:before="120" w:after="120"/>
              <w:jc w:val="center"/>
              <w:rPr>
                <w:sz w:val="26"/>
                <w:szCs w:val="26"/>
                <w:lang w:val="nl-NL" w:eastAsia="vi-VN"/>
              </w:rPr>
            </w:pPr>
          </w:p>
        </w:tc>
        <w:tc>
          <w:tcPr>
            <w:tcW w:w="1794" w:type="dxa"/>
          </w:tcPr>
          <w:p w:rsidR="00CC00D6" w:rsidRPr="001C1752" w:rsidRDefault="00CC00D6" w:rsidP="004E00BD">
            <w:pPr>
              <w:spacing w:before="120" w:after="120"/>
              <w:jc w:val="right"/>
              <w:rPr>
                <w:rFonts w:eastAsia="Arial"/>
                <w:b/>
                <w:sz w:val="26"/>
                <w:szCs w:val="26"/>
                <w:lang w:val="nl-NL"/>
              </w:rPr>
            </w:pPr>
          </w:p>
        </w:tc>
        <w:tc>
          <w:tcPr>
            <w:tcW w:w="1843" w:type="dxa"/>
            <w:vAlign w:val="center"/>
          </w:tcPr>
          <w:p w:rsidR="00CC00D6" w:rsidRPr="001C1752" w:rsidRDefault="00CC00D6" w:rsidP="004E00BD">
            <w:pPr>
              <w:spacing w:before="120" w:after="120"/>
              <w:jc w:val="right"/>
              <w:rPr>
                <w:rFonts w:eastAsia="Arial"/>
                <w:b/>
                <w:sz w:val="26"/>
                <w:szCs w:val="26"/>
                <w:lang w:val="nl-NL"/>
              </w:rPr>
            </w:pP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1</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Xăng</w:t>
            </w:r>
          </w:p>
        </w:tc>
        <w:tc>
          <w:tcPr>
            <w:tcW w:w="899" w:type="dxa"/>
            <w:vAlign w:val="center"/>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lít</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1.000-4.000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3.000-8.000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lastRenderedPageBreak/>
              <w:t>2</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Nhiên liệu bay</w:t>
            </w:r>
          </w:p>
        </w:tc>
        <w:tc>
          <w:tcPr>
            <w:tcW w:w="899" w:type="dxa"/>
          </w:tcPr>
          <w:p w:rsidR="00CC00D6" w:rsidRPr="001C1752" w:rsidRDefault="00CC00D6" w:rsidP="004E00BD">
            <w:pPr>
              <w:spacing w:before="120" w:after="120"/>
              <w:jc w:val="center"/>
              <w:rPr>
                <w:sz w:val="26"/>
                <w:szCs w:val="26"/>
              </w:rPr>
            </w:pPr>
            <w:r w:rsidRPr="001C1752">
              <w:rPr>
                <w:sz w:val="26"/>
                <w:szCs w:val="26"/>
                <w:lang w:val="nl-NL" w:eastAsia="vi-VN"/>
              </w:rPr>
              <w:t>lít</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1.000-3.000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3.000-6.000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3</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Dầu diezel</w:t>
            </w:r>
          </w:p>
        </w:tc>
        <w:tc>
          <w:tcPr>
            <w:tcW w:w="899" w:type="dxa"/>
          </w:tcPr>
          <w:p w:rsidR="00CC00D6" w:rsidRPr="001C1752" w:rsidRDefault="00CC00D6" w:rsidP="004E00BD">
            <w:pPr>
              <w:spacing w:before="120" w:after="120"/>
              <w:jc w:val="center"/>
              <w:rPr>
                <w:sz w:val="26"/>
                <w:szCs w:val="26"/>
              </w:rPr>
            </w:pPr>
            <w:r w:rsidRPr="001C1752">
              <w:rPr>
                <w:sz w:val="26"/>
                <w:szCs w:val="26"/>
                <w:lang w:val="nl-NL" w:eastAsia="vi-VN"/>
              </w:rPr>
              <w:t>lít</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500-2.000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1.500-4.000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4</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Dầu hỏa</w:t>
            </w:r>
          </w:p>
        </w:tc>
        <w:tc>
          <w:tcPr>
            <w:tcW w:w="899" w:type="dxa"/>
          </w:tcPr>
          <w:p w:rsidR="00CC00D6" w:rsidRPr="001C1752" w:rsidRDefault="00CC00D6" w:rsidP="004E00BD">
            <w:pPr>
              <w:spacing w:before="120" w:after="120"/>
              <w:jc w:val="center"/>
              <w:rPr>
                <w:sz w:val="26"/>
                <w:szCs w:val="26"/>
              </w:rPr>
            </w:pPr>
            <w:r w:rsidRPr="001C1752">
              <w:rPr>
                <w:sz w:val="26"/>
                <w:szCs w:val="26"/>
                <w:lang w:val="nl-NL" w:eastAsia="vi-VN"/>
              </w:rPr>
              <w:t>lít</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300-2.000</w:t>
            </w:r>
          </w:p>
        </w:tc>
        <w:tc>
          <w:tcPr>
            <w:tcW w:w="1843" w:type="dxa"/>
            <w:vAlign w:val="center"/>
          </w:tcPr>
          <w:p w:rsidR="00CC00D6" w:rsidRPr="001C1752" w:rsidRDefault="00CC00D6" w:rsidP="004E00BD">
            <w:pPr>
              <w:spacing w:before="120" w:after="120"/>
              <w:jc w:val="right"/>
              <w:rPr>
                <w:rFonts w:eastAsia="Arial"/>
                <w:sz w:val="26"/>
                <w:szCs w:val="26"/>
              </w:rPr>
            </w:pPr>
            <w:r w:rsidRPr="001C1752">
              <w:rPr>
                <w:rFonts w:eastAsia="Arial"/>
                <w:sz w:val="26"/>
                <w:szCs w:val="26"/>
              </w:rPr>
              <w:t>300-2.000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5</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Dầu mazut</w:t>
            </w:r>
          </w:p>
        </w:tc>
        <w:tc>
          <w:tcPr>
            <w:tcW w:w="899" w:type="dxa"/>
          </w:tcPr>
          <w:p w:rsidR="00CC00D6" w:rsidRPr="001C1752" w:rsidRDefault="00B36FC1" w:rsidP="004E00BD">
            <w:pPr>
              <w:spacing w:before="120" w:after="120"/>
              <w:jc w:val="center"/>
              <w:rPr>
                <w:sz w:val="26"/>
                <w:szCs w:val="26"/>
              </w:rPr>
            </w:pPr>
            <w:r w:rsidRPr="001C1752">
              <w:rPr>
                <w:sz w:val="26"/>
                <w:szCs w:val="26"/>
                <w:lang w:val="nl-NL" w:eastAsia="vi-VN"/>
              </w:rPr>
              <w:t>kg</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300-2.000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900-4.000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6</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Dầu nhờn</w:t>
            </w:r>
          </w:p>
        </w:tc>
        <w:tc>
          <w:tcPr>
            <w:tcW w:w="899" w:type="dxa"/>
          </w:tcPr>
          <w:p w:rsidR="00CC00D6" w:rsidRPr="001C1752" w:rsidRDefault="00CC00D6" w:rsidP="004E00BD">
            <w:pPr>
              <w:spacing w:before="120" w:after="120"/>
              <w:jc w:val="center"/>
              <w:rPr>
                <w:sz w:val="26"/>
                <w:szCs w:val="26"/>
              </w:rPr>
            </w:pPr>
            <w:r w:rsidRPr="001C1752">
              <w:rPr>
                <w:sz w:val="26"/>
                <w:szCs w:val="26"/>
                <w:lang w:val="nl-NL" w:eastAsia="vi-VN"/>
              </w:rPr>
              <w:t>lít</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300-2.000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900-4.000</w:t>
            </w:r>
          </w:p>
        </w:tc>
      </w:tr>
      <w:tr w:rsidR="00CC00D6" w:rsidRPr="001C1752" w:rsidTr="00273B93">
        <w:tc>
          <w:tcPr>
            <w:tcW w:w="708" w:type="dxa"/>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7</w:t>
            </w:r>
          </w:p>
        </w:tc>
        <w:tc>
          <w:tcPr>
            <w:tcW w:w="3970" w:type="dxa"/>
          </w:tcPr>
          <w:p w:rsidR="00CC00D6" w:rsidRPr="001C1752" w:rsidRDefault="00CC00D6" w:rsidP="004E00BD">
            <w:pPr>
              <w:spacing w:before="120" w:after="120"/>
              <w:jc w:val="both"/>
              <w:rPr>
                <w:sz w:val="26"/>
                <w:szCs w:val="26"/>
                <w:lang w:val="nl-NL" w:eastAsia="vi-VN"/>
              </w:rPr>
            </w:pPr>
            <w:r w:rsidRPr="001C1752">
              <w:rPr>
                <w:sz w:val="26"/>
                <w:szCs w:val="26"/>
                <w:lang w:val="nl-NL" w:eastAsia="vi-VN"/>
              </w:rPr>
              <w:t>Mỡ nhờn</w:t>
            </w:r>
          </w:p>
        </w:tc>
        <w:tc>
          <w:tcPr>
            <w:tcW w:w="899" w:type="dxa"/>
            <w:vAlign w:val="center"/>
          </w:tcPr>
          <w:p w:rsidR="00CC00D6" w:rsidRPr="001C1752" w:rsidRDefault="00CC00D6" w:rsidP="004E00BD">
            <w:pPr>
              <w:spacing w:before="120" w:after="120"/>
              <w:jc w:val="center"/>
              <w:rPr>
                <w:sz w:val="26"/>
                <w:szCs w:val="26"/>
                <w:lang w:val="nl-NL" w:eastAsia="vi-VN"/>
              </w:rPr>
            </w:pPr>
            <w:r w:rsidRPr="001C1752">
              <w:rPr>
                <w:sz w:val="26"/>
                <w:szCs w:val="26"/>
                <w:lang w:val="nl-NL" w:eastAsia="vi-VN"/>
              </w:rPr>
              <w:t>kg</w:t>
            </w:r>
          </w:p>
        </w:tc>
        <w:tc>
          <w:tcPr>
            <w:tcW w:w="1794" w:type="dxa"/>
          </w:tcPr>
          <w:p w:rsidR="00CC00D6" w:rsidRPr="001C1752" w:rsidRDefault="00CC00D6" w:rsidP="004E00BD">
            <w:pPr>
              <w:spacing w:before="120" w:after="120"/>
              <w:jc w:val="right"/>
              <w:rPr>
                <w:rFonts w:eastAsia="Arial"/>
                <w:sz w:val="26"/>
                <w:szCs w:val="26"/>
              </w:rPr>
            </w:pPr>
            <w:r w:rsidRPr="001C1752">
              <w:rPr>
                <w:rFonts w:eastAsia="Arial"/>
                <w:sz w:val="26"/>
                <w:szCs w:val="26"/>
              </w:rPr>
              <w:t>300-2.000</w:t>
            </w:r>
          </w:p>
        </w:tc>
        <w:tc>
          <w:tcPr>
            <w:tcW w:w="1843" w:type="dxa"/>
            <w:vAlign w:val="center"/>
          </w:tcPr>
          <w:p w:rsidR="00CC00D6" w:rsidRPr="001C1752" w:rsidRDefault="00CC00D6" w:rsidP="004E00BD">
            <w:pPr>
              <w:spacing w:before="120" w:after="120"/>
              <w:jc w:val="right"/>
              <w:rPr>
                <w:rFonts w:eastAsia="Arial"/>
                <w:b/>
                <w:sz w:val="26"/>
                <w:szCs w:val="26"/>
              </w:rPr>
            </w:pPr>
            <w:r w:rsidRPr="001C1752">
              <w:rPr>
                <w:rFonts w:eastAsia="Arial"/>
                <w:b/>
                <w:sz w:val="26"/>
                <w:szCs w:val="26"/>
              </w:rPr>
              <w:t>900-4.000</w:t>
            </w:r>
          </w:p>
        </w:tc>
      </w:tr>
    </w:tbl>
    <w:p w:rsidR="005D787F" w:rsidRPr="001C1752" w:rsidRDefault="00291511" w:rsidP="004E00BD">
      <w:pPr>
        <w:spacing w:before="120" w:after="120"/>
        <w:ind w:firstLine="720"/>
        <w:jc w:val="both"/>
        <w:rPr>
          <w:rFonts w:eastAsia="Arial"/>
          <w:lang w:val="nl-NL" w:eastAsia="vi-VN"/>
        </w:rPr>
      </w:pPr>
      <w:r w:rsidRPr="001C1752">
        <w:rPr>
          <w:b/>
          <w:i/>
          <w:lang w:val="nl-NL"/>
        </w:rPr>
        <w:t>b) Đối với xăng dầu sinh học</w:t>
      </w:r>
    </w:p>
    <w:p w:rsidR="00D61F0B" w:rsidRPr="000E37D4" w:rsidRDefault="00D61F0B" w:rsidP="004E00BD">
      <w:pPr>
        <w:pStyle w:val="NormalWeb"/>
        <w:spacing w:before="120" w:beforeAutospacing="0" w:after="120" w:afterAutospacing="0"/>
        <w:ind w:firstLine="720"/>
        <w:jc w:val="both"/>
        <w:rPr>
          <w:sz w:val="28"/>
          <w:szCs w:val="28"/>
          <w:lang w:val="pt-BR"/>
        </w:rPr>
      </w:pPr>
      <w:r w:rsidRPr="000E37D4">
        <w:rPr>
          <w:sz w:val="28"/>
          <w:szCs w:val="28"/>
          <w:lang w:val="pt-BR"/>
        </w:rPr>
        <w:t>Tại điểm a khoản 1 Điều 3 Luật thuế</w:t>
      </w:r>
      <w:r w:rsidR="007420E1" w:rsidRPr="000E37D4">
        <w:rPr>
          <w:sz w:val="28"/>
          <w:szCs w:val="28"/>
          <w:lang w:val="pt-BR"/>
        </w:rPr>
        <w:t xml:space="preserve"> BVMT </w:t>
      </w:r>
      <w:r w:rsidRPr="000E37D4">
        <w:rPr>
          <w:sz w:val="28"/>
          <w:szCs w:val="28"/>
          <w:lang w:val="pt-BR"/>
        </w:rPr>
        <w:t>quy định “xăng, trừ etanol” thuộc đối tượng chịu thuế.</w:t>
      </w:r>
    </w:p>
    <w:p w:rsidR="00DF502A" w:rsidRPr="000E37D4" w:rsidRDefault="005630BD" w:rsidP="004E00BD">
      <w:pPr>
        <w:spacing w:before="120" w:after="120"/>
        <w:ind w:firstLine="720"/>
        <w:jc w:val="both"/>
        <w:rPr>
          <w:lang w:val="nl-NL"/>
        </w:rPr>
      </w:pPr>
      <w:r w:rsidRPr="000E37D4">
        <w:rPr>
          <w:lang w:val="nl-NL"/>
        </w:rPr>
        <w:t xml:space="preserve">Như vậy, </w:t>
      </w:r>
      <w:r w:rsidR="008B0F30" w:rsidRPr="000E37D4">
        <w:rPr>
          <w:lang w:val="nl-NL"/>
        </w:rPr>
        <w:t xml:space="preserve">theo quy định hiện hành, </w:t>
      </w:r>
      <w:r w:rsidR="005D4036" w:rsidRPr="000E37D4">
        <w:rPr>
          <w:lang w:val="nl-NL"/>
        </w:rPr>
        <w:t>thuế BVMT chỉ thu đối với xăng gốc hóa thạch, không thu thuế đối với etanol (E100). Đối với xăng</w:t>
      </w:r>
      <w:r w:rsidR="00E37FE6" w:rsidRPr="000E37D4">
        <w:rPr>
          <w:lang w:val="nl-NL"/>
        </w:rPr>
        <w:t>,</w:t>
      </w:r>
      <w:r w:rsidR="005D4036" w:rsidRPr="000E37D4">
        <w:rPr>
          <w:lang w:val="nl-NL"/>
        </w:rPr>
        <w:t xml:space="preserve"> dầu sinh học (như xăng E5, dầu diesel B5</w:t>
      </w:r>
      <w:r w:rsidR="00A84579" w:rsidRPr="000E37D4">
        <w:rPr>
          <w:lang w:val="nl-NL"/>
        </w:rPr>
        <w:t xml:space="preserve"> - </w:t>
      </w:r>
      <w:r w:rsidR="0050438E" w:rsidRPr="000E37D4">
        <w:rPr>
          <w:lang w:val="nl-NL"/>
        </w:rPr>
        <w:t>có</w:t>
      </w:r>
      <w:r w:rsidR="00A84579" w:rsidRPr="000E37D4">
        <w:rPr>
          <w:lang w:val="nl-NL"/>
        </w:rPr>
        <w:t xml:space="preserve"> tỷ lệ </w:t>
      </w:r>
      <w:r w:rsidR="00DF502A" w:rsidRPr="000E37D4">
        <w:rPr>
          <w:lang w:val="nl-NL"/>
        </w:rPr>
        <w:t>4-</w:t>
      </w:r>
      <w:r w:rsidR="00A84579" w:rsidRPr="000E37D4">
        <w:rPr>
          <w:lang w:val="nl-NL"/>
        </w:rPr>
        <w:t>5% etanol;</w:t>
      </w:r>
      <w:r w:rsidR="005D4036" w:rsidRPr="000E37D4">
        <w:rPr>
          <w:lang w:val="nl-NL"/>
        </w:rPr>
        <w:t xml:space="preserve"> xăng E10, dầu diesel B10 - chứa tỷ lệ </w:t>
      </w:r>
      <w:r w:rsidR="00DF502A" w:rsidRPr="000E37D4">
        <w:rPr>
          <w:lang w:val="nl-NL"/>
        </w:rPr>
        <w:t>9-</w:t>
      </w:r>
      <w:r w:rsidR="00A84579" w:rsidRPr="000E37D4">
        <w:rPr>
          <w:lang w:val="nl-NL"/>
        </w:rPr>
        <w:t>10% etanol</w:t>
      </w:r>
      <w:r w:rsidR="005D4036" w:rsidRPr="000E37D4">
        <w:rPr>
          <w:lang w:val="nl-NL"/>
        </w:rPr>
        <w:t xml:space="preserve">) thì chỉ tính thu thuế BVMT </w:t>
      </w:r>
      <w:r w:rsidR="006B0CB3" w:rsidRPr="000E37D4">
        <w:rPr>
          <w:lang w:val="nl-NL"/>
        </w:rPr>
        <w:t xml:space="preserve">theo tỷ lệ </w:t>
      </w:r>
      <w:r w:rsidR="005D4036" w:rsidRPr="000E37D4">
        <w:rPr>
          <w:lang w:val="nl-NL"/>
        </w:rPr>
        <w:t>xăng</w:t>
      </w:r>
      <w:r w:rsidR="00E37FE6" w:rsidRPr="000E37D4">
        <w:rPr>
          <w:lang w:val="nl-NL"/>
        </w:rPr>
        <w:t>,</w:t>
      </w:r>
      <w:r w:rsidR="005D4036" w:rsidRPr="000E37D4">
        <w:rPr>
          <w:lang w:val="nl-NL"/>
        </w:rPr>
        <w:t xml:space="preserve"> dầu gốc hóa thạch </w:t>
      </w:r>
      <w:r w:rsidR="006B0CB3" w:rsidRPr="000E37D4">
        <w:rPr>
          <w:lang w:val="nl-NL"/>
        </w:rPr>
        <w:t>có trong xăng</w:t>
      </w:r>
      <w:r w:rsidR="00E37FE6" w:rsidRPr="000E37D4">
        <w:rPr>
          <w:lang w:val="nl-NL"/>
        </w:rPr>
        <w:t>,</w:t>
      </w:r>
      <w:r w:rsidR="00DF502A" w:rsidRPr="000E37D4">
        <w:rPr>
          <w:lang w:val="nl-NL"/>
        </w:rPr>
        <w:t xml:space="preserve"> dầu sinh học</w:t>
      </w:r>
      <w:r w:rsidR="006B0CB3" w:rsidRPr="000E37D4">
        <w:rPr>
          <w:lang w:val="nl-NL"/>
        </w:rPr>
        <w:t>.</w:t>
      </w:r>
      <w:r w:rsidR="00BA189B" w:rsidRPr="000E37D4">
        <w:rPr>
          <w:lang w:val="nl-NL"/>
        </w:rPr>
        <w:t xml:space="preserve"> </w:t>
      </w:r>
    </w:p>
    <w:p w:rsidR="00D61F0B" w:rsidRPr="000E37D4" w:rsidRDefault="00D61F0B" w:rsidP="004E00BD">
      <w:pPr>
        <w:spacing w:before="120" w:after="120"/>
        <w:ind w:firstLine="720"/>
        <w:jc w:val="both"/>
        <w:rPr>
          <w:i/>
          <w:lang w:val="pt-BR"/>
        </w:rPr>
      </w:pPr>
      <w:r w:rsidRPr="000E37D4">
        <w:rPr>
          <w:lang w:val="pt-BR"/>
        </w:rPr>
        <w:t>Tại Quyết định số 53/2012/QĐ-TTg ngày 22/11/2012 của Thủ tướng Chính phủ về việc ban hành lộ trình áp dụng tỷ lệ phối trộn nhiên liệu sinh học với nhiên liệu truyền thống giao</w:t>
      </w:r>
      <w:r w:rsidRPr="000E37D4">
        <w:rPr>
          <w:i/>
          <w:lang w:val="pt-BR"/>
        </w:rPr>
        <w:t>: Bộ Tài chính chủ trì, phối hợp với các Bộ, ngành liên quan xây dựng và ban hành hoặc trình cơ quan có thẩm quyền ban hành các chính sách ưu đãi về thuế đối với các sản phẩm nhiên liệu sinh học t</w:t>
      </w:r>
      <w:r w:rsidR="002B4139" w:rsidRPr="000E37D4">
        <w:rPr>
          <w:i/>
          <w:lang w:val="pt-BR"/>
        </w:rPr>
        <w:t>heo từng giai đoạn của lộ trình; Tiêu chuẩn, quy chuẩn kỹ thuật về nhiên liệu sinh học thực hiện lộ trình thực hiện theo quy định của Bộ Khoa học và Công nghệ.</w:t>
      </w:r>
    </w:p>
    <w:p w:rsidR="00DF502A" w:rsidRPr="000E37D4" w:rsidRDefault="00D61F0B" w:rsidP="004E00BD">
      <w:pPr>
        <w:spacing w:before="120" w:after="120"/>
        <w:ind w:firstLine="720"/>
        <w:jc w:val="both"/>
        <w:rPr>
          <w:lang w:val="nl-NL"/>
        </w:rPr>
      </w:pPr>
      <w:r w:rsidRPr="000E37D4">
        <w:rPr>
          <w:lang w:val="nl-NL"/>
        </w:rPr>
        <w:t>Để khuyến khích hơn nữa việc sản xuất và sử dụng xăng</w:t>
      </w:r>
      <w:r w:rsidR="00ED3990" w:rsidRPr="000E37D4">
        <w:rPr>
          <w:lang w:val="nl-NL"/>
        </w:rPr>
        <w:t>,</w:t>
      </w:r>
      <w:r w:rsidRPr="000E37D4">
        <w:rPr>
          <w:lang w:val="nl-NL"/>
        </w:rPr>
        <w:t xml:space="preserve"> </w:t>
      </w:r>
      <w:r w:rsidR="00A81C83" w:rsidRPr="000E37D4">
        <w:rPr>
          <w:lang w:val="nl-NL"/>
        </w:rPr>
        <w:t xml:space="preserve">dầu </w:t>
      </w:r>
      <w:r w:rsidRPr="000E37D4">
        <w:rPr>
          <w:lang w:val="nl-NL"/>
        </w:rPr>
        <w:t xml:space="preserve">sinh học theo tinh thần chỉ đạo của Thủ tướng Chính phủ, </w:t>
      </w:r>
      <w:r w:rsidR="00DF502A" w:rsidRPr="000E37D4">
        <w:rPr>
          <w:lang w:val="nl-NL"/>
        </w:rPr>
        <w:t xml:space="preserve">Bộ Tài chính </w:t>
      </w:r>
      <w:r w:rsidR="00106A73" w:rsidRPr="000E37D4">
        <w:rPr>
          <w:lang w:val="nl-NL"/>
        </w:rPr>
        <w:t xml:space="preserve">đề nghị </w:t>
      </w:r>
      <w:r w:rsidR="004630EA" w:rsidRPr="000E37D4">
        <w:rPr>
          <w:lang w:val="nl-NL"/>
        </w:rPr>
        <w:t xml:space="preserve">bổ sung 1 khoản tại Điều 8 Luật thuế BVMT </w:t>
      </w:r>
      <w:r w:rsidR="00106A73" w:rsidRPr="000E37D4">
        <w:rPr>
          <w:lang w:val="nl-NL"/>
        </w:rPr>
        <w:t>quy định</w:t>
      </w:r>
      <w:r w:rsidR="00DF502A" w:rsidRPr="000E37D4">
        <w:rPr>
          <w:lang w:val="nl-NL"/>
        </w:rPr>
        <w:t xml:space="preserve"> mức thuế BVMT ưu đãi đối với xăng, dầu sinh học như sau:</w:t>
      </w:r>
    </w:p>
    <w:p w:rsidR="00DF502A" w:rsidRPr="000E37D4" w:rsidRDefault="00106A73" w:rsidP="004E00BD">
      <w:pPr>
        <w:spacing w:before="120" w:after="120"/>
        <w:ind w:firstLine="720"/>
        <w:jc w:val="both"/>
        <w:rPr>
          <w:i/>
          <w:lang w:val="nl-NL"/>
        </w:rPr>
      </w:pPr>
      <w:r w:rsidRPr="000E37D4">
        <w:rPr>
          <w:i/>
          <w:lang w:val="nl-NL"/>
        </w:rPr>
        <w:t>b1)</w:t>
      </w:r>
      <w:r w:rsidR="00DF502A" w:rsidRPr="000E37D4">
        <w:rPr>
          <w:i/>
          <w:lang w:val="nl-NL"/>
        </w:rPr>
        <w:t xml:space="preserve"> </w:t>
      </w:r>
      <w:r w:rsidR="00DF502A" w:rsidRPr="000E37D4">
        <w:rPr>
          <w:rFonts w:asciiTheme="majorHAnsi" w:eastAsia="Arial" w:hAnsiTheme="majorHAnsi" w:cstheme="majorHAnsi"/>
          <w:i/>
          <w:lang w:val="nl-NL" w:eastAsia="vi-VN"/>
        </w:rPr>
        <w:t>Đối với xăng E5, E10 và dầu diesel B5, B10:</w:t>
      </w:r>
    </w:p>
    <w:p w:rsidR="00DF502A" w:rsidRPr="000E37D4" w:rsidRDefault="00DF502A" w:rsidP="004E00BD">
      <w:pPr>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xml:space="preserve">- </w:t>
      </w:r>
      <w:r w:rsidRPr="000E37D4">
        <w:rPr>
          <w:rFonts w:asciiTheme="majorHAnsi" w:eastAsia="Arial" w:hAnsiTheme="majorHAnsi" w:cstheme="majorHAnsi"/>
          <w:u w:val="single"/>
          <w:lang w:val="nl-NL" w:eastAsia="vi-VN"/>
        </w:rPr>
        <w:t>Phương án 1</w:t>
      </w:r>
      <w:r w:rsidRPr="000E37D4">
        <w:rPr>
          <w:rFonts w:asciiTheme="majorHAnsi" w:eastAsia="Arial" w:hAnsiTheme="majorHAnsi" w:cstheme="majorHAnsi"/>
          <w:lang w:val="nl-NL" w:eastAsia="vi-VN"/>
        </w:rPr>
        <w:t xml:space="preserve">: </w:t>
      </w:r>
    </w:p>
    <w:p w:rsidR="00DF502A" w:rsidRPr="000E37D4" w:rsidRDefault="00DF502A" w:rsidP="004E00BD">
      <w:pPr>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Đối với xăng E5 và dầu diesel B5: mức thuế cụ thể bằng 80% mức thuế cụ thể của xăng gốc hóa thạch và dầu diesel tương ứng.</w:t>
      </w:r>
    </w:p>
    <w:p w:rsidR="00DF502A" w:rsidRPr="000E37D4" w:rsidRDefault="00DF502A" w:rsidP="004E00BD">
      <w:pPr>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xml:space="preserve">+ Đối với xăng E10 và dầu diesel B10: mức thuế cụ thể bằng 70% mức thuế cụ thể của </w:t>
      </w:r>
      <w:r w:rsidR="004E00BD">
        <w:rPr>
          <w:rFonts w:asciiTheme="majorHAnsi" w:eastAsia="Arial" w:hAnsiTheme="majorHAnsi" w:cstheme="majorHAnsi"/>
          <w:lang w:val="nl-NL" w:eastAsia="vi-VN"/>
        </w:rPr>
        <w:t>x</w:t>
      </w:r>
      <w:r w:rsidR="004E00BD" w:rsidRPr="004E00BD">
        <w:rPr>
          <w:rFonts w:asciiTheme="majorHAnsi" w:eastAsia="Arial" w:hAnsiTheme="majorHAnsi" w:cstheme="majorHAnsi"/>
          <w:lang w:val="nl-NL" w:eastAsia="vi-VN"/>
        </w:rPr>
        <w:t>ă</w:t>
      </w:r>
      <w:r w:rsidR="004E00BD">
        <w:rPr>
          <w:rFonts w:asciiTheme="majorHAnsi" w:eastAsia="Arial" w:hAnsiTheme="majorHAnsi" w:cstheme="majorHAnsi"/>
          <w:lang w:val="nl-NL" w:eastAsia="vi-VN"/>
        </w:rPr>
        <w:t xml:space="preserve">ng </w:t>
      </w:r>
      <w:r w:rsidRPr="000E37D4">
        <w:rPr>
          <w:rFonts w:asciiTheme="majorHAnsi" w:eastAsia="Arial" w:hAnsiTheme="majorHAnsi" w:cstheme="majorHAnsi"/>
          <w:lang w:val="nl-NL" w:eastAsia="vi-VN"/>
        </w:rPr>
        <w:t>gốc hóa thạch và dầu diesel tương ứng.</w:t>
      </w:r>
    </w:p>
    <w:p w:rsidR="00DF502A" w:rsidRPr="000E37D4" w:rsidRDefault="00DF502A" w:rsidP="004E00BD">
      <w:pPr>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i/>
          <w:lang w:val="nl-NL" w:eastAsia="vi-VN"/>
        </w:rPr>
        <w:lastRenderedPageBreak/>
        <w:t>(Quy định này tương tự như quy định về mức thuế tiêu thụ đặc biệt ưu đãi đối với xăng sinh học: xăng khoáng là 10%, xăng E5 là 8%, xăng E10 là 7%)</w:t>
      </w:r>
    </w:p>
    <w:p w:rsidR="00B4689C" w:rsidRPr="000E37D4" w:rsidRDefault="00B4689C" w:rsidP="004E00BD">
      <w:pPr>
        <w:spacing w:before="120" w:after="120"/>
        <w:ind w:firstLine="720"/>
        <w:jc w:val="both"/>
        <w:rPr>
          <w:rFonts w:asciiTheme="majorHAnsi" w:eastAsia="Arial" w:hAnsiTheme="majorHAnsi" w:cstheme="majorHAnsi"/>
          <w:lang w:val="nl-NL" w:eastAsia="vi-VN"/>
        </w:rPr>
      </w:pPr>
      <w:r w:rsidRPr="000E37D4">
        <w:rPr>
          <w:lang w:val="nl-NL"/>
        </w:rPr>
        <w:t xml:space="preserve">Theo phương án này, với mức thuế BVMT đối với xăng </w:t>
      </w:r>
      <w:r w:rsidRPr="000E37D4">
        <w:rPr>
          <w:rFonts w:asciiTheme="majorHAnsi" w:eastAsia="Arial" w:hAnsiTheme="majorHAnsi" w:cstheme="majorHAnsi"/>
          <w:lang w:val="nl-NL" w:eastAsia="vi-VN"/>
        </w:rPr>
        <w:t xml:space="preserve">gốc hóa thạch </w:t>
      </w:r>
      <w:r w:rsidRPr="000E37D4">
        <w:rPr>
          <w:lang w:val="nl-NL"/>
        </w:rPr>
        <w:t xml:space="preserve">là 3.000 đồng/lít </w:t>
      </w:r>
      <w:r w:rsidRPr="000E37D4">
        <w:rPr>
          <w:rFonts w:asciiTheme="majorHAnsi" w:eastAsia="Arial" w:hAnsiTheme="majorHAnsi" w:cstheme="majorHAnsi"/>
          <w:lang w:val="nl-NL"/>
        </w:rPr>
        <w:t xml:space="preserve">thì mức thuế BVMT đối với xăng E5 là 2.400 đồng/lít (giảm 600 đồng/lít so với xăng gốc hóa thạch) và mức thuế BVMT đối với xăng E10 là 2.100 đồng/lít (giảm 900 đồng/lít so với xăng gốc hóa thạch). Khi đó, </w:t>
      </w:r>
      <w:r w:rsidRPr="000E37D4">
        <w:rPr>
          <w:rFonts w:asciiTheme="majorHAnsi" w:eastAsia="Arial" w:hAnsiTheme="majorHAnsi" w:cstheme="majorHAnsi"/>
          <w:lang w:val="nl-NL" w:eastAsia="vi-VN"/>
        </w:rPr>
        <w:t>mức chênh lệch giữa giá xăng gốc hóa thạch và giá xăng E5, xăng E10 thông qua ưu đãi thuế BVMT, thuế TTĐB và thuế GTGT như sau:</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rFonts w:asciiTheme="majorHAnsi" w:eastAsia="Arial" w:hAnsiTheme="majorHAnsi" w:cstheme="majorHAnsi"/>
          <w:lang w:val="nl-NL"/>
        </w:rPr>
        <w:t xml:space="preserve">+ Đối với xăng E5: Số thuế phải nộp đối với xăng E5 sẽ thấp hơn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nl-NL"/>
        </w:rPr>
        <w:t>là 803</w:t>
      </w:r>
      <w:r w:rsidRPr="000E37D4">
        <w:rPr>
          <w:rFonts w:asciiTheme="majorHAnsi" w:eastAsia="Arial" w:hAnsiTheme="majorHAnsi" w:cstheme="majorHAnsi"/>
          <w:b/>
          <w:lang w:val="pt-BR"/>
        </w:rPr>
        <w:t xml:space="preserve"> </w:t>
      </w:r>
      <w:r w:rsidRPr="000E37D4">
        <w:rPr>
          <w:rFonts w:asciiTheme="majorHAnsi" w:eastAsia="Arial" w:hAnsiTheme="majorHAnsi" w:cstheme="majorHAnsi"/>
          <w:lang w:val="pt-BR"/>
        </w:rPr>
        <w:t xml:space="preserve">đồng/lít, trong đó: </w:t>
      </w:r>
      <w:r w:rsidRPr="000E37D4">
        <w:rPr>
          <w:rFonts w:asciiTheme="majorHAnsi" w:eastAsia="Arial" w:hAnsiTheme="majorHAnsi" w:cstheme="majorHAnsi"/>
          <w:lang w:val="nl-NL"/>
        </w:rPr>
        <w:t>Thuế BVMT là 600</w:t>
      </w:r>
      <w:r w:rsidRPr="000E37D4">
        <w:rPr>
          <w:rFonts w:asciiTheme="majorHAnsi" w:eastAsia="Arial" w:hAnsiTheme="majorHAnsi" w:cstheme="majorHAnsi"/>
          <w:lang w:val="pt-BR"/>
        </w:rPr>
        <w:t xml:space="preserve"> đồng/lít (hiện hành là 150 đồng/lít); Thuế TTĐB là 135 đồng/lít (hiện hành là 135 đồng/lít). Thuế GTGT là 68 đồng/lít (hiện hành là 23 đồng/lít). Theo đó, giá xăng E5 sẽ thấp hơn giá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pt-BR"/>
        </w:rPr>
        <w:t>thông qua ưu đãi thuế là 803 đồng/lít (ưu đãi hơn hiện hành là 495 đồng/lít - hiện hành đang là 308 đồng/lít).</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rFonts w:asciiTheme="majorHAnsi" w:eastAsia="Arial" w:hAnsiTheme="majorHAnsi" w:cstheme="majorHAnsi"/>
          <w:lang w:val="nl-NL"/>
        </w:rPr>
        <w:t xml:space="preserve">+ Đối với xăng E10: Số thuế phải nộp đối với xăng E10 sẽ thấp hơn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nl-NL"/>
        </w:rPr>
        <w:t>là 1.230</w:t>
      </w:r>
      <w:r w:rsidRPr="000E37D4">
        <w:rPr>
          <w:rFonts w:asciiTheme="majorHAnsi" w:eastAsia="Arial" w:hAnsiTheme="majorHAnsi" w:cstheme="majorHAnsi"/>
          <w:b/>
          <w:lang w:val="pt-BR"/>
        </w:rPr>
        <w:t xml:space="preserve"> </w:t>
      </w:r>
      <w:r w:rsidRPr="000E37D4">
        <w:rPr>
          <w:rFonts w:asciiTheme="majorHAnsi" w:eastAsia="Arial" w:hAnsiTheme="majorHAnsi" w:cstheme="majorHAnsi"/>
          <w:lang w:val="pt-BR"/>
        </w:rPr>
        <w:t xml:space="preserve">đồng/lít, trong đó: </w:t>
      </w:r>
      <w:r w:rsidRPr="000E37D4">
        <w:rPr>
          <w:rFonts w:asciiTheme="majorHAnsi" w:eastAsia="Arial" w:hAnsiTheme="majorHAnsi" w:cstheme="majorHAnsi"/>
          <w:lang w:val="nl-NL"/>
        </w:rPr>
        <w:t>Thuế BVMT là 900</w:t>
      </w:r>
      <w:r w:rsidRPr="000E37D4">
        <w:rPr>
          <w:rFonts w:asciiTheme="majorHAnsi" w:eastAsia="Arial" w:hAnsiTheme="majorHAnsi" w:cstheme="majorHAnsi"/>
          <w:lang w:val="pt-BR"/>
        </w:rPr>
        <w:t xml:space="preserve"> đồng/lít (hiện hành là 300 đồng/lít); Thuế TTĐB là 238 đồng/lít (hiện hành là 238 đồng/lít). Thuế GTGT là 92 đồng/lít (hiện hành là 32 đồng/lít). Theo đó, giá xăng E10 sẽ thấp hơn giá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pt-BR"/>
        </w:rPr>
        <w:t>thông qua ưu đãi thuế là 1.230 đồng/lít (ưu đãi hơn hiệ</w:t>
      </w:r>
      <w:r w:rsidR="008D416F">
        <w:rPr>
          <w:rFonts w:asciiTheme="majorHAnsi" w:eastAsia="Arial" w:hAnsiTheme="majorHAnsi" w:cstheme="majorHAnsi"/>
          <w:lang w:val="pt-BR"/>
        </w:rPr>
        <w:t>n hành là 660</w:t>
      </w:r>
      <w:r w:rsidRPr="000E37D4">
        <w:rPr>
          <w:rFonts w:asciiTheme="majorHAnsi" w:eastAsia="Arial" w:hAnsiTheme="majorHAnsi" w:cstheme="majorHAnsi"/>
          <w:lang w:val="pt-BR"/>
        </w:rPr>
        <w:t xml:space="preserve"> đồng/lít - hiện hành đang là 57</w:t>
      </w:r>
      <w:r w:rsidR="008D416F">
        <w:rPr>
          <w:rFonts w:asciiTheme="majorHAnsi" w:eastAsia="Arial" w:hAnsiTheme="majorHAnsi" w:cstheme="majorHAnsi"/>
          <w:lang w:val="pt-BR"/>
        </w:rPr>
        <w:t>0</w:t>
      </w:r>
      <w:r w:rsidRPr="000E37D4">
        <w:rPr>
          <w:rFonts w:asciiTheme="majorHAnsi" w:eastAsia="Arial" w:hAnsiTheme="majorHAnsi" w:cstheme="majorHAnsi"/>
          <w:lang w:val="pt-BR"/>
        </w:rPr>
        <w:t xml:space="preserve"> đồng/lít).</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xml:space="preserve">- </w:t>
      </w:r>
      <w:r w:rsidRPr="000E37D4">
        <w:rPr>
          <w:rFonts w:asciiTheme="majorHAnsi" w:eastAsia="Arial" w:hAnsiTheme="majorHAnsi" w:cstheme="majorHAnsi"/>
          <w:u w:val="single"/>
          <w:lang w:val="nl-NL" w:eastAsia="vi-VN"/>
        </w:rPr>
        <w:t>Phương án 2 (ưu đãi thấp hơn phương án 1)</w:t>
      </w:r>
      <w:r w:rsidRPr="000E37D4">
        <w:rPr>
          <w:rFonts w:asciiTheme="majorHAnsi" w:eastAsia="Arial" w:hAnsiTheme="majorHAnsi" w:cstheme="majorHAnsi"/>
          <w:lang w:val="nl-NL" w:eastAsia="vi-VN"/>
        </w:rPr>
        <w:t xml:space="preserve">: </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Đối với xăng E5 và dầu diesel B5: mức thuế cụ thể bằng 90% mức thuế cụ thể của xăng gốc hóa thạch và dầu diesel tương ứng.</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nl-NL" w:eastAsia="vi-VN"/>
        </w:rPr>
      </w:pPr>
      <w:r w:rsidRPr="000E37D4">
        <w:rPr>
          <w:rFonts w:asciiTheme="majorHAnsi" w:eastAsia="Arial" w:hAnsiTheme="majorHAnsi" w:cstheme="majorHAnsi"/>
          <w:lang w:val="nl-NL" w:eastAsia="vi-VN"/>
        </w:rPr>
        <w:t>+ Đối với xăng E10 và dầu diesel B10: mức thuế cụ thể bằng 80% mức thuế cụ thể của xăng gốc hóa thạch và dầu diesel tương ứng.</w:t>
      </w:r>
    </w:p>
    <w:p w:rsidR="0078222C" w:rsidRPr="000E37D4" w:rsidRDefault="0078222C" w:rsidP="004E00BD">
      <w:pPr>
        <w:overflowPunct w:val="0"/>
        <w:autoSpaceDE w:val="0"/>
        <w:autoSpaceDN w:val="0"/>
        <w:adjustRightInd w:val="0"/>
        <w:spacing w:before="120" w:after="120"/>
        <w:ind w:firstLine="720"/>
        <w:jc w:val="both"/>
        <w:rPr>
          <w:rFonts w:asciiTheme="majorHAnsi" w:eastAsia="Arial" w:hAnsiTheme="majorHAnsi" w:cstheme="majorHAnsi"/>
          <w:lang w:val="nl-NL" w:eastAsia="vi-VN"/>
        </w:rPr>
      </w:pPr>
      <w:r w:rsidRPr="000E37D4">
        <w:rPr>
          <w:lang w:val="nl-NL"/>
        </w:rPr>
        <w:t xml:space="preserve">Theo phương án này, với mức thuế BVMT đối với xăng </w:t>
      </w:r>
      <w:r w:rsidRPr="000E37D4">
        <w:rPr>
          <w:rFonts w:asciiTheme="majorHAnsi" w:eastAsia="Arial" w:hAnsiTheme="majorHAnsi" w:cstheme="majorHAnsi"/>
          <w:lang w:val="nl-NL" w:eastAsia="vi-VN"/>
        </w:rPr>
        <w:t xml:space="preserve">gốc hóa thạch </w:t>
      </w:r>
      <w:r w:rsidRPr="000E37D4">
        <w:rPr>
          <w:lang w:val="nl-NL"/>
        </w:rPr>
        <w:t xml:space="preserve">là 3.000 đồng/lít </w:t>
      </w:r>
      <w:r w:rsidRPr="000E37D4">
        <w:rPr>
          <w:rFonts w:asciiTheme="majorHAnsi" w:eastAsia="Arial" w:hAnsiTheme="majorHAnsi" w:cstheme="majorHAnsi"/>
          <w:lang w:val="nl-NL"/>
        </w:rPr>
        <w:t xml:space="preserve">thì mức thuế BVMT đối với xăng E5 là 2.700 đồng/lít (giảm 300 đồng/lít so với xăng gốc hóa thạch) và mức thuế BVMT đối với xăng E10 là 2.400 đồng/lít (giảm 600 đồng/lít so với xăng gốc hóa thạch). Khi đó, </w:t>
      </w:r>
      <w:r w:rsidRPr="000E37D4">
        <w:rPr>
          <w:rFonts w:asciiTheme="majorHAnsi" w:eastAsia="Arial" w:hAnsiTheme="majorHAnsi" w:cstheme="majorHAnsi"/>
          <w:lang w:val="nl-NL" w:eastAsia="vi-VN"/>
        </w:rPr>
        <w:t>mức chênh lệch giữa giá xăng gốc hóa thạch và giá xăng E5, xăng E10 thông qua ưu đãi thuế BVMT, thuế TTĐB và thuế GTGT như sau:</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rFonts w:asciiTheme="majorHAnsi" w:eastAsia="Arial" w:hAnsiTheme="majorHAnsi" w:cstheme="majorHAnsi"/>
          <w:lang w:val="nl-NL"/>
        </w:rPr>
        <w:t xml:space="preserve">+ Đối với xăng E5: Số thuế phải nộp đối với xăng E5 sẽ thấp hơn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nl-NL"/>
        </w:rPr>
        <w:t>là 473</w:t>
      </w:r>
      <w:r w:rsidRPr="000E37D4">
        <w:rPr>
          <w:rFonts w:asciiTheme="majorHAnsi" w:eastAsia="Arial" w:hAnsiTheme="majorHAnsi" w:cstheme="majorHAnsi"/>
          <w:b/>
          <w:lang w:val="pt-BR"/>
        </w:rPr>
        <w:t xml:space="preserve"> </w:t>
      </w:r>
      <w:r w:rsidRPr="000E37D4">
        <w:rPr>
          <w:rFonts w:asciiTheme="majorHAnsi" w:eastAsia="Arial" w:hAnsiTheme="majorHAnsi" w:cstheme="majorHAnsi"/>
          <w:lang w:val="pt-BR"/>
        </w:rPr>
        <w:t xml:space="preserve">đồng/lít, trong đó: </w:t>
      </w:r>
      <w:r w:rsidRPr="000E37D4">
        <w:rPr>
          <w:rFonts w:asciiTheme="majorHAnsi" w:eastAsia="Arial" w:hAnsiTheme="majorHAnsi" w:cstheme="majorHAnsi"/>
          <w:lang w:val="nl-NL"/>
        </w:rPr>
        <w:t>Thuế BVMT là 300</w:t>
      </w:r>
      <w:r w:rsidRPr="000E37D4">
        <w:rPr>
          <w:rFonts w:asciiTheme="majorHAnsi" w:eastAsia="Arial" w:hAnsiTheme="majorHAnsi" w:cstheme="majorHAnsi"/>
          <w:lang w:val="pt-BR"/>
        </w:rPr>
        <w:t xml:space="preserve"> đồng/lít (hiện hành là 150 đồng/lít); Thuế TTĐB là 135 đồng/lít (hiện hành là 135 đồng/lít). Thuế GTGT là 38 đồng/lít (hiện hành là 23 đồng/lít). Theo đó, giá xăng E5 sẽ thấp hơn giá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pt-BR"/>
        </w:rPr>
        <w:t>thông qua ưu đãi thuế là 473 đồng/lít (ưu đãi hơn hiện hành là 165 đồng/lít - hiện hành đang là 308 đồng/lít).</w:t>
      </w:r>
    </w:p>
    <w:p w:rsidR="00DF502A"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rFonts w:asciiTheme="majorHAnsi" w:eastAsia="Arial" w:hAnsiTheme="majorHAnsi" w:cstheme="majorHAnsi"/>
          <w:lang w:val="nl-NL"/>
        </w:rPr>
        <w:t xml:space="preserve">+ Đối với xăng E10: Số thuế phải nộp đối với xăng E10 sẽ thấp hơn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nl-NL"/>
        </w:rPr>
        <w:t>là 900</w:t>
      </w:r>
      <w:r w:rsidRPr="000E37D4">
        <w:rPr>
          <w:rFonts w:asciiTheme="majorHAnsi" w:eastAsia="Arial" w:hAnsiTheme="majorHAnsi" w:cstheme="majorHAnsi"/>
          <w:b/>
          <w:lang w:val="pt-BR"/>
        </w:rPr>
        <w:t xml:space="preserve"> </w:t>
      </w:r>
      <w:r w:rsidRPr="000E37D4">
        <w:rPr>
          <w:rFonts w:asciiTheme="majorHAnsi" w:eastAsia="Arial" w:hAnsiTheme="majorHAnsi" w:cstheme="majorHAnsi"/>
          <w:lang w:val="pt-BR"/>
        </w:rPr>
        <w:t xml:space="preserve">đồng/lít, trong đó: </w:t>
      </w:r>
      <w:r w:rsidRPr="000E37D4">
        <w:rPr>
          <w:rFonts w:asciiTheme="majorHAnsi" w:eastAsia="Arial" w:hAnsiTheme="majorHAnsi" w:cstheme="majorHAnsi"/>
          <w:lang w:val="nl-NL"/>
        </w:rPr>
        <w:t>Thuế BVMT là 600</w:t>
      </w:r>
      <w:r w:rsidRPr="000E37D4">
        <w:rPr>
          <w:rFonts w:asciiTheme="majorHAnsi" w:eastAsia="Arial" w:hAnsiTheme="majorHAnsi" w:cstheme="majorHAnsi"/>
          <w:lang w:val="pt-BR"/>
        </w:rPr>
        <w:t xml:space="preserve"> đồng/lít (hiện hành là 300 đồng/lít); Thuế TTĐB là 238 đồng/lít (hiện hành là 238 đồng/lít). Thuế GTGT là 62 đồng/lít (hiện hành là 32 đồng/lít). Theo đó, giá xăng E10 sẽ thấp </w:t>
      </w:r>
      <w:r w:rsidRPr="000E37D4">
        <w:rPr>
          <w:rFonts w:asciiTheme="majorHAnsi" w:eastAsia="Arial" w:hAnsiTheme="majorHAnsi" w:cstheme="majorHAnsi"/>
          <w:lang w:val="pt-BR"/>
        </w:rPr>
        <w:lastRenderedPageBreak/>
        <w:t xml:space="preserve">hơn giá xăng </w:t>
      </w:r>
      <w:r w:rsidRPr="000E37D4">
        <w:rPr>
          <w:rFonts w:asciiTheme="majorHAnsi" w:eastAsia="Arial" w:hAnsiTheme="majorHAnsi" w:cstheme="majorHAnsi"/>
          <w:lang w:val="nl-NL" w:eastAsia="vi-VN"/>
        </w:rPr>
        <w:t xml:space="preserve">gốc hóa thạch </w:t>
      </w:r>
      <w:r w:rsidRPr="000E37D4">
        <w:rPr>
          <w:rFonts w:asciiTheme="majorHAnsi" w:eastAsia="Arial" w:hAnsiTheme="majorHAnsi" w:cstheme="majorHAnsi"/>
          <w:lang w:val="pt-BR"/>
        </w:rPr>
        <w:t>thông qua ưu đãi thuế là 900 đồng/lít (ưu đãi hơn hiệ</w:t>
      </w:r>
      <w:r w:rsidR="008D416F">
        <w:rPr>
          <w:rFonts w:asciiTheme="majorHAnsi" w:eastAsia="Arial" w:hAnsiTheme="majorHAnsi" w:cstheme="majorHAnsi"/>
          <w:lang w:val="pt-BR"/>
        </w:rPr>
        <w:t>n hành là 330</w:t>
      </w:r>
      <w:r w:rsidRPr="000E37D4">
        <w:rPr>
          <w:rFonts w:asciiTheme="majorHAnsi" w:eastAsia="Arial" w:hAnsiTheme="majorHAnsi" w:cstheme="majorHAnsi"/>
          <w:lang w:val="pt-BR"/>
        </w:rPr>
        <w:t xml:space="preserve"> đồng/lít - hiện hành đang là 57</w:t>
      </w:r>
      <w:r w:rsidR="008D416F">
        <w:rPr>
          <w:rFonts w:asciiTheme="majorHAnsi" w:eastAsia="Arial" w:hAnsiTheme="majorHAnsi" w:cstheme="majorHAnsi"/>
          <w:lang w:val="pt-BR"/>
        </w:rPr>
        <w:t>0</w:t>
      </w:r>
      <w:r w:rsidRPr="000E37D4">
        <w:rPr>
          <w:rFonts w:asciiTheme="majorHAnsi" w:eastAsia="Arial" w:hAnsiTheme="majorHAnsi" w:cstheme="majorHAnsi"/>
          <w:lang w:val="pt-BR"/>
        </w:rPr>
        <w:t xml:space="preserve"> đồng/lít).</w:t>
      </w:r>
    </w:p>
    <w:p w:rsidR="00DF502A" w:rsidRPr="000E37D4" w:rsidRDefault="00512E33"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rFonts w:asciiTheme="majorHAnsi" w:eastAsia="Arial" w:hAnsiTheme="majorHAnsi" w:cstheme="majorHAnsi"/>
          <w:lang w:val="pt-BR"/>
        </w:rPr>
        <w:t xml:space="preserve">Để khuyến khích việc sản xuất và sử dụng xăng, dầu sinh học E5, E10, B5, B10 và thống nhất với quy định của chính sách thuế TTĐB, </w:t>
      </w:r>
      <w:r w:rsidR="00DF502A" w:rsidRPr="000E37D4">
        <w:rPr>
          <w:rFonts w:asciiTheme="majorHAnsi" w:eastAsia="Arial" w:hAnsiTheme="majorHAnsi" w:cstheme="majorHAnsi"/>
          <w:lang w:val="pt-BR"/>
        </w:rPr>
        <w:t>Bộ Tài chính chọn phương án 1.</w:t>
      </w:r>
    </w:p>
    <w:p w:rsidR="00DF502A" w:rsidRPr="000E37D4" w:rsidRDefault="00916FAC" w:rsidP="004E00BD">
      <w:pPr>
        <w:overflowPunct w:val="0"/>
        <w:autoSpaceDE w:val="0"/>
        <w:autoSpaceDN w:val="0"/>
        <w:adjustRightInd w:val="0"/>
        <w:spacing w:before="120" w:after="120"/>
        <w:ind w:firstLine="720"/>
        <w:jc w:val="both"/>
        <w:rPr>
          <w:rFonts w:asciiTheme="majorHAnsi" w:eastAsia="Arial" w:hAnsiTheme="majorHAnsi" w:cstheme="majorHAnsi"/>
          <w:i/>
          <w:lang w:val="pt-BR"/>
        </w:rPr>
      </w:pPr>
      <w:r w:rsidRPr="000E37D4">
        <w:rPr>
          <w:rFonts w:asciiTheme="majorHAnsi" w:eastAsia="Arial" w:hAnsiTheme="majorHAnsi" w:cstheme="majorHAnsi"/>
          <w:i/>
          <w:lang w:val="pt-BR"/>
        </w:rPr>
        <w:t>b2)</w:t>
      </w:r>
      <w:r w:rsidR="00DF502A" w:rsidRPr="000E37D4">
        <w:rPr>
          <w:rFonts w:asciiTheme="majorHAnsi" w:eastAsia="Arial" w:hAnsiTheme="majorHAnsi" w:cstheme="majorHAnsi"/>
          <w:i/>
          <w:lang w:val="pt-BR"/>
        </w:rPr>
        <w:t xml:space="preserve"> Đối với xăng</w:t>
      </w:r>
      <w:r w:rsidRPr="000E37D4">
        <w:rPr>
          <w:rFonts w:asciiTheme="majorHAnsi" w:eastAsia="Arial" w:hAnsiTheme="majorHAnsi" w:cstheme="majorHAnsi"/>
          <w:i/>
          <w:lang w:val="pt-BR"/>
        </w:rPr>
        <w:t>,</w:t>
      </w:r>
      <w:r w:rsidR="00DF502A" w:rsidRPr="000E37D4">
        <w:rPr>
          <w:rFonts w:asciiTheme="majorHAnsi" w:eastAsia="Arial" w:hAnsiTheme="majorHAnsi" w:cstheme="majorHAnsi"/>
          <w:i/>
          <w:lang w:val="pt-BR"/>
        </w:rPr>
        <w:t xml:space="preserve"> dầu sinh học </w:t>
      </w:r>
      <w:r w:rsidR="004630EA" w:rsidRPr="000E37D4">
        <w:rPr>
          <w:rFonts w:asciiTheme="majorHAnsi" w:eastAsia="Arial" w:hAnsiTheme="majorHAnsi" w:cstheme="majorHAnsi"/>
          <w:i/>
          <w:lang w:val="pt-BR"/>
        </w:rPr>
        <w:t xml:space="preserve">khác (xăng, dầu sinh học </w:t>
      </w:r>
      <w:r w:rsidR="00DF502A" w:rsidRPr="000E37D4">
        <w:rPr>
          <w:rFonts w:asciiTheme="majorHAnsi" w:eastAsia="Arial" w:hAnsiTheme="majorHAnsi" w:cstheme="majorHAnsi"/>
          <w:i/>
          <w:lang w:val="pt-BR"/>
        </w:rPr>
        <w:t>có tỷ lệ etanol khác với xăng E5, E10 và dầu diesel B5, B10</w:t>
      </w:r>
      <w:r w:rsidR="004630EA" w:rsidRPr="000E37D4">
        <w:rPr>
          <w:rFonts w:asciiTheme="majorHAnsi" w:eastAsia="Arial" w:hAnsiTheme="majorHAnsi" w:cstheme="majorHAnsi"/>
          <w:i/>
          <w:lang w:val="pt-BR"/>
        </w:rPr>
        <w:t>)</w:t>
      </w:r>
    </w:p>
    <w:p w:rsidR="00C74803" w:rsidRPr="000E37D4" w:rsidRDefault="00DF502A" w:rsidP="004E00BD">
      <w:pPr>
        <w:overflowPunct w:val="0"/>
        <w:autoSpaceDE w:val="0"/>
        <w:autoSpaceDN w:val="0"/>
        <w:adjustRightInd w:val="0"/>
        <w:spacing w:before="120" w:after="120"/>
        <w:ind w:firstLine="720"/>
        <w:jc w:val="both"/>
        <w:rPr>
          <w:rFonts w:asciiTheme="majorHAnsi" w:hAnsiTheme="majorHAnsi" w:cstheme="majorHAnsi"/>
          <w:lang w:val="pt-BR"/>
        </w:rPr>
      </w:pPr>
      <w:r w:rsidRPr="000E37D4">
        <w:rPr>
          <w:rFonts w:asciiTheme="majorHAnsi" w:eastAsia="Arial" w:hAnsiTheme="majorHAnsi" w:cstheme="majorHAnsi"/>
          <w:lang w:val="pt-BR"/>
        </w:rPr>
        <w:t>Trên thực tế, sẽ có nhiều sản phẩm xăng</w:t>
      </w:r>
      <w:r w:rsidR="004630EA" w:rsidRPr="000E37D4">
        <w:rPr>
          <w:rFonts w:asciiTheme="majorHAnsi" w:eastAsia="Arial" w:hAnsiTheme="majorHAnsi" w:cstheme="majorHAnsi"/>
          <w:lang w:val="pt-BR"/>
        </w:rPr>
        <w:t>,</w:t>
      </w:r>
      <w:r w:rsidRPr="000E37D4">
        <w:rPr>
          <w:rFonts w:asciiTheme="majorHAnsi" w:eastAsia="Arial" w:hAnsiTheme="majorHAnsi" w:cstheme="majorHAnsi"/>
          <w:lang w:val="pt-BR"/>
        </w:rPr>
        <w:t xml:space="preserve"> dầu sinh học khác với tên gọi khác nhau tùy thuộc vào tỷ lệ phối trộn etanol (hiện xăng</w:t>
      </w:r>
      <w:r w:rsidR="004630EA" w:rsidRPr="000E37D4">
        <w:rPr>
          <w:rFonts w:asciiTheme="majorHAnsi" w:eastAsia="Arial" w:hAnsiTheme="majorHAnsi" w:cstheme="majorHAnsi"/>
          <w:lang w:val="pt-BR"/>
        </w:rPr>
        <w:t>,</w:t>
      </w:r>
      <w:r w:rsidRPr="000E37D4">
        <w:rPr>
          <w:rFonts w:asciiTheme="majorHAnsi" w:eastAsia="Arial" w:hAnsiTheme="majorHAnsi" w:cstheme="majorHAnsi"/>
          <w:lang w:val="pt-BR"/>
        </w:rPr>
        <w:t xml:space="preserve"> dầu sinh học có tỷ lệ phối trộn etanol cao nhất là 85%); và tiêu chuẩn, quy chuẩn kỹ thuật về nhiên liệu sinh học có thể có sự thay đổi. Vì vậy, để có cơ sở quy định mức thuế BVMT ưu đãi đối với xăng</w:t>
      </w:r>
      <w:r w:rsidR="004630EA" w:rsidRPr="000E37D4">
        <w:rPr>
          <w:rFonts w:asciiTheme="majorHAnsi" w:eastAsia="Arial" w:hAnsiTheme="majorHAnsi" w:cstheme="majorHAnsi"/>
          <w:lang w:val="pt-BR"/>
        </w:rPr>
        <w:t>,</w:t>
      </w:r>
      <w:r w:rsidRPr="000E37D4">
        <w:rPr>
          <w:rFonts w:asciiTheme="majorHAnsi" w:eastAsia="Arial" w:hAnsiTheme="majorHAnsi" w:cstheme="majorHAnsi"/>
          <w:lang w:val="pt-BR"/>
        </w:rPr>
        <w:t xml:space="preserve"> dầu sinh học </w:t>
      </w:r>
      <w:r w:rsidR="004630EA" w:rsidRPr="000E37D4">
        <w:rPr>
          <w:rFonts w:asciiTheme="majorHAnsi" w:eastAsia="Arial" w:hAnsiTheme="majorHAnsi" w:cstheme="majorHAnsi"/>
          <w:lang w:val="pt-BR"/>
        </w:rPr>
        <w:t xml:space="preserve">khác </w:t>
      </w:r>
      <w:r w:rsidRPr="000E37D4">
        <w:rPr>
          <w:rFonts w:asciiTheme="majorHAnsi" w:eastAsia="Arial" w:hAnsiTheme="majorHAnsi" w:cstheme="majorHAnsi"/>
          <w:lang w:val="pt-BR"/>
        </w:rPr>
        <w:t>có thể phát sinh sau này, đề nghị</w:t>
      </w:r>
      <w:r w:rsidR="004630EA" w:rsidRPr="000E37D4">
        <w:rPr>
          <w:rFonts w:asciiTheme="majorHAnsi" w:eastAsia="Arial" w:hAnsiTheme="majorHAnsi" w:cstheme="majorHAnsi"/>
          <w:lang w:val="pt-BR"/>
        </w:rPr>
        <w:t xml:space="preserve"> bổ sung 1 khoản tại Điều 8</w:t>
      </w:r>
      <w:r w:rsidR="001C335B" w:rsidRPr="000E37D4">
        <w:rPr>
          <w:rFonts w:asciiTheme="majorHAnsi" w:eastAsia="Arial" w:hAnsiTheme="majorHAnsi" w:cstheme="majorHAnsi"/>
          <w:lang w:val="pt-BR"/>
        </w:rPr>
        <w:t xml:space="preserve"> Luật thuế BVMT quy định</w:t>
      </w:r>
      <w:r w:rsidRPr="000E37D4">
        <w:rPr>
          <w:rFonts w:asciiTheme="majorHAnsi" w:eastAsia="Arial" w:hAnsiTheme="majorHAnsi" w:cstheme="majorHAnsi"/>
          <w:lang w:val="pt-BR"/>
        </w:rPr>
        <w:t xml:space="preserve">: </w:t>
      </w:r>
      <w:r w:rsidR="00C74803" w:rsidRPr="000E37D4">
        <w:rPr>
          <w:i/>
          <w:lang w:val="nl-NL"/>
        </w:rPr>
        <w:t xml:space="preserve">Trường hợp phát sinh xăng, dầu sinh học mới, </w:t>
      </w:r>
      <w:r w:rsidR="00C74803" w:rsidRPr="000E37D4">
        <w:rPr>
          <w:rFonts w:asciiTheme="majorHAnsi" w:eastAsia="Arial" w:hAnsiTheme="majorHAnsi" w:cstheme="majorHAnsi"/>
          <w:i/>
          <w:lang w:val="pt-BR"/>
        </w:rPr>
        <w:t xml:space="preserve">Chính phủ căn cứ mức thuế đối với xăng, dầu gốc hóa thạch và tỷ lệ etanol trong xăng, dầu sinh học để quy định mức thuế cho phù hợp với lộ trình </w:t>
      </w:r>
      <w:r w:rsidR="00C74803" w:rsidRPr="000E37D4">
        <w:rPr>
          <w:rFonts w:asciiTheme="majorHAnsi" w:hAnsiTheme="majorHAnsi" w:cstheme="majorHAnsi"/>
          <w:i/>
          <w:lang w:val="pt-BR"/>
        </w:rPr>
        <w:t>áp dụng tỷ lệ phối trộn nhiên liệu sinh học với nhiên liệu truyền thốn</w:t>
      </w:r>
      <w:r w:rsidR="00C74803" w:rsidRPr="000E37D4">
        <w:rPr>
          <w:rFonts w:asciiTheme="majorHAnsi" w:hAnsiTheme="majorHAnsi" w:cstheme="majorHAnsi"/>
          <w:lang w:val="pt-BR"/>
        </w:rPr>
        <w:t>g.</w:t>
      </w:r>
    </w:p>
    <w:p w:rsidR="00DF502A" w:rsidRPr="000E37D4" w:rsidRDefault="00DF502A" w:rsidP="004E00BD">
      <w:pPr>
        <w:spacing w:before="120" w:after="120"/>
        <w:ind w:firstLine="720"/>
        <w:jc w:val="both"/>
        <w:rPr>
          <w:bdr w:val="none" w:sz="0" w:space="0" w:color="auto" w:frame="1"/>
          <w:lang w:val="nl-NL"/>
        </w:rPr>
      </w:pPr>
      <w:r w:rsidRPr="000E37D4">
        <w:rPr>
          <w:bdr w:val="none" w:sz="0" w:space="0" w:color="auto" w:frame="1"/>
          <w:lang w:val="nl-NL"/>
        </w:rPr>
        <w:t>(Nội dung này thể hiện tại khoản 6 Điều 1 dự thảo Luật)</w:t>
      </w:r>
    </w:p>
    <w:p w:rsidR="00E3421F" w:rsidRPr="000E37D4" w:rsidRDefault="00DF502A" w:rsidP="004E00BD">
      <w:pPr>
        <w:overflowPunct w:val="0"/>
        <w:autoSpaceDE w:val="0"/>
        <w:autoSpaceDN w:val="0"/>
        <w:adjustRightInd w:val="0"/>
        <w:spacing w:before="120" w:after="120"/>
        <w:ind w:firstLine="720"/>
        <w:jc w:val="both"/>
        <w:rPr>
          <w:rFonts w:asciiTheme="majorHAnsi" w:eastAsia="Arial" w:hAnsiTheme="majorHAnsi" w:cstheme="majorHAnsi"/>
          <w:lang w:val="pt-BR"/>
        </w:rPr>
      </w:pPr>
      <w:r w:rsidRPr="000E37D4">
        <w:rPr>
          <w:i/>
          <w:lang w:val="nl-NL" w:eastAsia="vi-VN"/>
        </w:rPr>
        <w:t>Ngoài ra,</w:t>
      </w:r>
      <w:r w:rsidRPr="000E37D4">
        <w:rPr>
          <w:lang w:val="nl-NL" w:eastAsia="vi-VN"/>
        </w:rPr>
        <w:t xml:space="preserve"> t</w:t>
      </w:r>
      <w:r w:rsidR="00E3421F" w:rsidRPr="000E37D4">
        <w:rPr>
          <w:rFonts w:eastAsia="Arial"/>
          <w:lang w:val="pt-BR"/>
        </w:rPr>
        <w:t>rong quá trình thảo luận, xây dựng dự án Luật, có ý kiến đề nghị bổ sung khung thuế BVMT ưu đãi đối với xăng dầu đáp ứng</w:t>
      </w:r>
      <w:r w:rsidR="00E3421F" w:rsidRPr="000E37D4">
        <w:rPr>
          <w:rFonts w:asciiTheme="majorHAnsi" w:eastAsia="Arial" w:hAnsiTheme="majorHAnsi" w:cstheme="majorHAnsi"/>
          <w:lang w:val="nl-NL"/>
        </w:rPr>
        <w:t xml:space="preserve"> tiêu chuẩn khí thải mức 3, mức 4, mức 5.</w:t>
      </w:r>
    </w:p>
    <w:p w:rsidR="00E3421F" w:rsidRPr="000E37D4" w:rsidRDefault="00E3421F" w:rsidP="004E00BD">
      <w:pPr>
        <w:pStyle w:val="NormalWeb"/>
        <w:spacing w:before="120" w:beforeAutospacing="0" w:after="120" w:afterAutospacing="0"/>
        <w:ind w:firstLine="720"/>
        <w:jc w:val="both"/>
        <w:rPr>
          <w:rFonts w:asciiTheme="majorHAnsi" w:eastAsia="Arial" w:hAnsiTheme="majorHAnsi" w:cstheme="majorHAnsi"/>
          <w:sz w:val="28"/>
          <w:szCs w:val="28"/>
          <w:lang w:val="nl-NL"/>
        </w:rPr>
      </w:pPr>
      <w:r w:rsidRPr="000E37D4">
        <w:rPr>
          <w:rFonts w:asciiTheme="majorHAnsi" w:eastAsia="Arial" w:hAnsiTheme="majorHAnsi" w:cstheme="majorHAnsi"/>
          <w:sz w:val="28"/>
          <w:szCs w:val="28"/>
          <w:lang w:val="nl-NL"/>
        </w:rPr>
        <w:t xml:space="preserve">Về vấn đề này, Bộ Tài chính có ý kiến như sau: </w:t>
      </w:r>
    </w:p>
    <w:p w:rsidR="00E3421F" w:rsidRPr="000E37D4" w:rsidRDefault="00E3421F" w:rsidP="004E00BD">
      <w:pPr>
        <w:pStyle w:val="NormalWeb"/>
        <w:spacing w:before="120" w:beforeAutospacing="0" w:after="120" w:afterAutospacing="0"/>
        <w:ind w:firstLine="720"/>
        <w:jc w:val="both"/>
        <w:rPr>
          <w:sz w:val="18"/>
          <w:szCs w:val="18"/>
          <w:lang w:val="nl-NL"/>
        </w:rPr>
      </w:pPr>
      <w:r w:rsidRPr="000E37D4">
        <w:rPr>
          <w:sz w:val="28"/>
          <w:szCs w:val="28"/>
          <w:lang w:val="nl-NL"/>
        </w:rPr>
        <w:t xml:space="preserve">Theo Quyết định số 49/2011/QĐ-TTg ngày 01/9/2011 của Thủ tướng Chính phủ quy định lộ trình áp dụng tiêu chuẩn khí thải đối với xe ô tô, xe mô tô hai bánh sản xuất, lắp ráp và nhập khẩu mới như sau: đối với các loại xe ô tô (trừ ô tô chạy bằng dầu diesel cho phép thực hiện đến hết 31/12/2017) áp dụng tiêu chuẩn khí thải mức 4 từ ngày 01/01/2017 và mức 5 từ ngày 01/01/2022; đối với các loại xe mô tô hai bánh áp dụng tiêu chuẩn khí thải mức 3 từ ngày 01/01/2017. </w:t>
      </w:r>
    </w:p>
    <w:p w:rsidR="00E3421F" w:rsidRPr="001C1752" w:rsidRDefault="00E3421F" w:rsidP="004E00BD">
      <w:pPr>
        <w:pStyle w:val="NormalWeb"/>
        <w:spacing w:before="120" w:beforeAutospacing="0" w:after="120" w:afterAutospacing="0"/>
        <w:ind w:firstLine="720"/>
        <w:jc w:val="both"/>
        <w:rPr>
          <w:sz w:val="28"/>
          <w:szCs w:val="28"/>
          <w:lang w:val="nl-NL"/>
        </w:rPr>
      </w:pPr>
      <w:r w:rsidRPr="000E37D4">
        <w:rPr>
          <w:sz w:val="28"/>
          <w:szCs w:val="28"/>
          <w:lang w:val="nl-NL"/>
        </w:rPr>
        <w:t>Theo quy chuẩn kỹ thuật quốc gia về khí thải mức 3</w:t>
      </w:r>
      <w:r w:rsidRPr="000E37D4">
        <w:rPr>
          <w:rStyle w:val="FootnoteReference"/>
          <w:sz w:val="28"/>
          <w:szCs w:val="28"/>
          <w:lang w:val="nl-NL"/>
        </w:rPr>
        <w:footnoteReference w:id="6"/>
      </w:r>
      <w:r w:rsidRPr="000E37D4">
        <w:rPr>
          <w:sz w:val="28"/>
          <w:szCs w:val="28"/>
          <w:lang w:val="nl-NL"/>
        </w:rPr>
        <w:t xml:space="preserve"> và mức 4</w:t>
      </w:r>
      <w:r w:rsidRPr="000E37D4">
        <w:rPr>
          <w:rStyle w:val="FootnoteReference"/>
          <w:sz w:val="28"/>
          <w:szCs w:val="28"/>
          <w:lang w:val="nl-NL"/>
        </w:rPr>
        <w:footnoteReference w:id="7"/>
      </w:r>
      <w:r w:rsidRPr="000E37D4">
        <w:rPr>
          <w:sz w:val="28"/>
          <w:szCs w:val="28"/>
          <w:lang w:val="nl-NL"/>
        </w:rPr>
        <w:t xml:space="preserve"> (chưa có quy chuẩn khí thải mức 5) thì: nhiên liệu để thử nghiệm khí thải mức 3 là nhiên liệu thông dụng phù hợp với quy chuẩn kỹ thuật về nhiên liệu hiện hành, đối với xăng phải có chỉ số ốc tan RON nhỏ nhất là 95; nhiên liệu để thử nghiệm khí thải mức 4 tùy</w:t>
      </w:r>
      <w:r w:rsidRPr="001C1752">
        <w:rPr>
          <w:sz w:val="28"/>
          <w:szCs w:val="28"/>
          <w:lang w:val="nl-NL"/>
        </w:rPr>
        <w:t xml:space="preserve"> vào từng loại động cơ xe sẽ sử dụng các loại nhiên liệu khác nhau, gồm: xăng không chì, xăng E5; nhiên liệu diesel, nhiên liệu diesel B5; khí dầu mỏ hóa lỏng (LPG), khí thiên nhiên (NG); xăng không chì và LPG, xăng không chì và NG. Ngoài ra, tiêu chuẩn khí thải mức 3 và mức 4 nêu trên còn căn cứ vào các điều kiện khác như giá trị giới hạn chất khí gây ô nhiễm, độ khói, giá trị giới hạn của hệ thống hấp thụ ánh sáng...</w:t>
      </w:r>
    </w:p>
    <w:p w:rsidR="00E3421F" w:rsidRPr="001C1752" w:rsidRDefault="00E3421F" w:rsidP="004E00BD">
      <w:pPr>
        <w:pStyle w:val="NormalWeb"/>
        <w:spacing w:before="120" w:beforeAutospacing="0" w:after="120" w:afterAutospacing="0"/>
        <w:ind w:firstLine="720"/>
        <w:jc w:val="both"/>
        <w:rPr>
          <w:sz w:val="28"/>
          <w:szCs w:val="28"/>
          <w:lang w:val="nl-NL"/>
        </w:rPr>
      </w:pPr>
      <w:r w:rsidRPr="001C1752">
        <w:rPr>
          <w:sz w:val="28"/>
          <w:szCs w:val="28"/>
          <w:lang w:val="nl-NL"/>
        </w:rPr>
        <w:lastRenderedPageBreak/>
        <w:t xml:space="preserve">Như vậy, tùy thuộc vào động cơ xe, loại xe để sử dụng các loại nhiên liệu khác nhau đảm bảo tiêu chuẩn khí thải mức 3, mức 4, trong đó các loại xăng </w:t>
      </w:r>
      <w:r w:rsidR="00862AEF" w:rsidRPr="001C1752">
        <w:rPr>
          <w:sz w:val="28"/>
          <w:szCs w:val="28"/>
          <w:lang w:val="nl-NL"/>
        </w:rPr>
        <w:t>dầu gốc hóa thạch và</w:t>
      </w:r>
      <w:r w:rsidRPr="001C1752">
        <w:rPr>
          <w:sz w:val="28"/>
          <w:szCs w:val="28"/>
          <w:lang w:val="nl-NL"/>
        </w:rPr>
        <w:t xml:space="preserve"> xăng, dầu sinh học vẫn được sử dụng và đã được quy định khung, mức thuế BVMT theo đề xuất nêu trên. Mặt khác nếu chi tiết từng loại xăng, dầu theo tiêu chuẩn khí thải mức 3, mức 4 để đánh thuế thì sẽ rất phức tạp và không có căn cứ để quy định mức thuế như đối với xăng, dầu sinh học (căn cứ là tỷ lệ etanol có trong xăng, dầu sinh học).</w:t>
      </w:r>
    </w:p>
    <w:p w:rsidR="00E3421F" w:rsidRPr="001C1752" w:rsidRDefault="00E3421F" w:rsidP="004E00BD">
      <w:pPr>
        <w:pStyle w:val="NormalWeb"/>
        <w:spacing w:before="120" w:beforeAutospacing="0" w:after="120" w:afterAutospacing="0"/>
        <w:ind w:firstLine="720"/>
        <w:jc w:val="both"/>
        <w:rPr>
          <w:sz w:val="28"/>
          <w:szCs w:val="28"/>
          <w:lang w:val="nl-NL"/>
        </w:rPr>
      </w:pPr>
      <w:r w:rsidRPr="001C1752">
        <w:rPr>
          <w:sz w:val="28"/>
          <w:szCs w:val="28"/>
          <w:lang w:val="nl-NL"/>
        </w:rPr>
        <w:t>Do đó, đề nghị không quy định khung, mức thuế BVMT ưu đãi riêng đối với xăng dầu theo tiêu chuẩn khí thải mức 3 và mức 4, mức 5.</w:t>
      </w:r>
    </w:p>
    <w:p w:rsidR="005C1D7E" w:rsidRPr="001C1752" w:rsidRDefault="008D7581" w:rsidP="004E00BD">
      <w:pPr>
        <w:spacing w:before="120" w:after="120"/>
        <w:ind w:firstLine="720"/>
        <w:jc w:val="both"/>
        <w:rPr>
          <w:b/>
          <w:i/>
          <w:lang w:val="nl-NL"/>
        </w:rPr>
      </w:pPr>
      <w:r w:rsidRPr="001C1752">
        <w:rPr>
          <w:b/>
          <w:i/>
          <w:lang w:val="nl-NL"/>
        </w:rPr>
        <w:t>c</w:t>
      </w:r>
      <w:r w:rsidR="00275BB3" w:rsidRPr="001C1752">
        <w:rPr>
          <w:b/>
          <w:i/>
          <w:lang w:val="nl-NL"/>
        </w:rPr>
        <w:t xml:space="preserve">) </w:t>
      </w:r>
      <w:r w:rsidR="005C1D7E" w:rsidRPr="001C1752">
        <w:rPr>
          <w:b/>
          <w:i/>
          <w:lang w:val="nl-NL"/>
        </w:rPr>
        <w:t xml:space="preserve">Đối với </w:t>
      </w:r>
      <w:r w:rsidR="00275BB3" w:rsidRPr="001C1752">
        <w:rPr>
          <w:b/>
          <w:i/>
          <w:lang w:val="nl-NL"/>
        </w:rPr>
        <w:t>dung dịch HCFC</w:t>
      </w:r>
    </w:p>
    <w:p w:rsidR="006B6CC9" w:rsidRPr="001C1752" w:rsidRDefault="006B6CC9" w:rsidP="004E00BD">
      <w:pPr>
        <w:spacing w:before="120" w:after="120"/>
        <w:ind w:firstLine="720"/>
        <w:jc w:val="both"/>
        <w:rPr>
          <w:lang w:val="nl-NL" w:eastAsia="vi-VN"/>
        </w:rPr>
      </w:pPr>
      <w:r w:rsidRPr="001C1752">
        <w:rPr>
          <w:lang w:val="nl-NL"/>
        </w:rPr>
        <w:t xml:space="preserve">Luật thuế BVMT quy định khung mức thuế BVMT đối với dung dịch HCFC từ 1.000 đồng/kg - 5.000 đồng/kg, </w:t>
      </w:r>
      <w:r w:rsidRPr="001C1752">
        <w:rPr>
          <w:lang w:val="nl-NL" w:eastAsia="vi-VN"/>
        </w:rPr>
        <w:t>mức thuế hiện hành là 4.000 đồng/kg</w:t>
      </w:r>
      <w:r w:rsidR="007C269D" w:rsidRPr="001C1752">
        <w:rPr>
          <w:lang w:val="nl-NL" w:eastAsia="vi-VN"/>
        </w:rPr>
        <w:t>,</w:t>
      </w:r>
      <w:r w:rsidRPr="001C1752">
        <w:rPr>
          <w:lang w:val="nl-NL" w:eastAsia="vi-VN"/>
        </w:rPr>
        <w:t xml:space="preserve"> gần bằng mức tối đa trong khung thuế. </w:t>
      </w:r>
    </w:p>
    <w:p w:rsidR="00E7264D" w:rsidRPr="001C1752" w:rsidRDefault="006B6CC9" w:rsidP="004E00BD">
      <w:pPr>
        <w:spacing w:before="120" w:after="120"/>
        <w:ind w:firstLine="720"/>
        <w:jc w:val="both"/>
        <w:rPr>
          <w:lang w:val="sv-SE"/>
        </w:rPr>
      </w:pPr>
      <w:r w:rsidRPr="001C1752">
        <w:rPr>
          <w:lang w:val="nl-NL" w:eastAsia="vi-VN"/>
        </w:rPr>
        <w:t xml:space="preserve">Theo Nghị định thư Montreal về hạn chế sử dụng các chất làm suy giảm tầng ô dôn thì Việt Nam sẽ phải loại trừ hoàn toàn việc sử dụng dung dịch HCFC vào năm 2030. Việc áp dụng mức thuế BVMT cao đối với dung dịch HCFC sẽ là một trong những giải pháp góp phần </w:t>
      </w:r>
      <w:r w:rsidRPr="001C1752">
        <w:rPr>
          <w:lang w:val="vi-VN"/>
        </w:rPr>
        <w:t>giảm dần sử dụng</w:t>
      </w:r>
      <w:r w:rsidRPr="001C1752">
        <w:rPr>
          <w:lang w:val="nl-NL"/>
        </w:rPr>
        <w:t xml:space="preserve"> dung dịch</w:t>
      </w:r>
      <w:r w:rsidRPr="001C1752">
        <w:rPr>
          <w:lang w:val="vi-VN"/>
        </w:rPr>
        <w:t xml:space="preserve"> HCFC.</w:t>
      </w:r>
      <w:r w:rsidRPr="001C1752">
        <w:rPr>
          <w:lang w:val="nl-NL"/>
        </w:rPr>
        <w:t xml:space="preserve"> </w:t>
      </w:r>
      <w:r w:rsidR="003C791D" w:rsidRPr="001C1752">
        <w:rPr>
          <w:lang w:val="nl-NL"/>
        </w:rPr>
        <w:t xml:space="preserve">Theo đó, BTC đề nghị </w:t>
      </w:r>
      <w:r w:rsidRPr="001C1752">
        <w:rPr>
          <w:lang w:val="nl-NL" w:eastAsia="vi-VN"/>
        </w:rPr>
        <w:t>đ</w:t>
      </w:r>
      <w:r w:rsidRPr="001C1752">
        <w:rPr>
          <w:lang w:val="sv-SE"/>
        </w:rPr>
        <w:t>iều chỉnh khung thuế BVMT đối với dung dịch HCFC</w:t>
      </w:r>
      <w:r w:rsidR="006327F5" w:rsidRPr="001C1752">
        <w:rPr>
          <w:lang w:val="sv-SE"/>
        </w:rPr>
        <w:t xml:space="preserve"> theo 2 phương án</w:t>
      </w:r>
      <w:r w:rsidRPr="001C1752">
        <w:rPr>
          <w:lang w:val="sv-SE"/>
        </w:rPr>
        <w:t xml:space="preserve"> </w:t>
      </w:r>
      <w:r w:rsidR="00E7264D" w:rsidRPr="001C1752">
        <w:rPr>
          <w:lang w:val="sv-SE"/>
        </w:rPr>
        <w:t>như sau:</w:t>
      </w:r>
    </w:p>
    <w:p w:rsidR="00E7264D" w:rsidRPr="001C1752" w:rsidRDefault="00E7264D" w:rsidP="004E00BD">
      <w:pPr>
        <w:spacing w:before="120" w:after="120"/>
        <w:ind w:firstLine="720"/>
        <w:jc w:val="both"/>
        <w:rPr>
          <w:rFonts w:asciiTheme="majorHAnsi" w:hAnsiTheme="majorHAnsi" w:cstheme="majorHAnsi"/>
          <w:lang w:val="nl-NL"/>
        </w:rPr>
      </w:pPr>
      <w:r w:rsidRPr="001C1752">
        <w:rPr>
          <w:rFonts w:asciiTheme="majorHAnsi" w:hAnsiTheme="majorHAnsi" w:cstheme="majorHAnsi"/>
          <w:u w:val="single"/>
          <w:lang w:val="nl-NL"/>
        </w:rPr>
        <w:t>Phương án 1:</w:t>
      </w:r>
      <w:r w:rsidRPr="001C1752">
        <w:rPr>
          <w:rFonts w:asciiTheme="majorHAnsi" w:hAnsiTheme="majorHAnsi" w:cstheme="majorHAnsi"/>
          <w:lang w:val="nl-NL"/>
        </w:rPr>
        <w:t xml:space="preserve"> Điều chỉnh khung thuế BVMT đối với dung dịch HCFC từ 1.000-5.000 đồng/kg lên từ </w:t>
      </w:r>
      <w:r w:rsidR="00C208A6" w:rsidRPr="001C1752">
        <w:rPr>
          <w:rFonts w:asciiTheme="majorHAnsi" w:hAnsiTheme="majorHAnsi" w:cstheme="majorHAnsi"/>
          <w:b/>
          <w:lang w:val="nl-NL"/>
        </w:rPr>
        <w:t>4</w:t>
      </w:r>
      <w:r w:rsidRPr="001C1752">
        <w:rPr>
          <w:rFonts w:asciiTheme="majorHAnsi" w:hAnsiTheme="majorHAnsi" w:cstheme="majorHAnsi"/>
          <w:b/>
          <w:lang w:val="nl-NL"/>
        </w:rPr>
        <w:t xml:space="preserve">.000- 10.000 đồng/kg </w:t>
      </w:r>
      <w:r w:rsidRPr="001C1752">
        <w:rPr>
          <w:rFonts w:asciiTheme="majorHAnsi" w:hAnsiTheme="majorHAnsi" w:cstheme="majorHAnsi"/>
          <w:lang w:val="nl-NL"/>
        </w:rPr>
        <w:t xml:space="preserve">(mức tối </w:t>
      </w:r>
      <w:r w:rsidR="00C208A6" w:rsidRPr="001C1752">
        <w:rPr>
          <w:rFonts w:asciiTheme="majorHAnsi" w:hAnsiTheme="majorHAnsi" w:cstheme="majorHAnsi"/>
          <w:lang w:val="nl-NL"/>
        </w:rPr>
        <w:t xml:space="preserve">thiểu </w:t>
      </w:r>
      <w:r w:rsidR="0086719B" w:rsidRPr="001C1752">
        <w:rPr>
          <w:rFonts w:asciiTheme="majorHAnsi" w:hAnsiTheme="majorHAnsi" w:cstheme="majorHAnsi"/>
          <w:lang w:val="nl-NL"/>
        </w:rPr>
        <w:t xml:space="preserve">điều chỉnh tăng </w:t>
      </w:r>
      <w:r w:rsidR="00C208A6" w:rsidRPr="001C1752">
        <w:rPr>
          <w:rFonts w:asciiTheme="majorHAnsi" w:hAnsiTheme="majorHAnsi" w:cstheme="majorHAnsi"/>
          <w:lang w:val="nl-NL"/>
        </w:rPr>
        <w:t xml:space="preserve">bằng mức thuế đang áp dụng, mức </w:t>
      </w:r>
      <w:r w:rsidRPr="001C1752">
        <w:rPr>
          <w:rFonts w:asciiTheme="majorHAnsi" w:hAnsiTheme="majorHAnsi" w:cstheme="majorHAnsi"/>
          <w:lang w:val="nl-NL"/>
        </w:rPr>
        <w:t xml:space="preserve">đa </w:t>
      </w:r>
      <w:r w:rsidR="00C208A6" w:rsidRPr="001C1752">
        <w:rPr>
          <w:rFonts w:asciiTheme="majorHAnsi" w:hAnsiTheme="majorHAnsi" w:cstheme="majorHAnsi"/>
          <w:lang w:val="nl-NL"/>
        </w:rPr>
        <w:t xml:space="preserve">điều chỉnh tăng </w:t>
      </w:r>
      <w:r w:rsidRPr="001C1752">
        <w:rPr>
          <w:rFonts w:asciiTheme="majorHAnsi" w:hAnsiTheme="majorHAnsi" w:cstheme="majorHAnsi"/>
          <w:lang w:val="nl-NL"/>
        </w:rPr>
        <w:t>bằng 2 lần mức tối đa trong khung</w:t>
      </w:r>
      <w:r w:rsidR="00C208A6" w:rsidRPr="001C1752">
        <w:rPr>
          <w:rFonts w:asciiTheme="majorHAnsi" w:hAnsiTheme="majorHAnsi" w:cstheme="majorHAnsi"/>
          <w:lang w:val="nl-NL"/>
        </w:rPr>
        <w:t xml:space="preserve"> thuế hiện hành</w:t>
      </w:r>
      <w:r w:rsidRPr="001C1752">
        <w:rPr>
          <w:rFonts w:asciiTheme="majorHAnsi" w:hAnsiTheme="majorHAnsi" w:cstheme="majorHAnsi"/>
          <w:lang w:val="nl-NL"/>
        </w:rPr>
        <w:t>).</w:t>
      </w:r>
    </w:p>
    <w:p w:rsidR="00E7264D" w:rsidRPr="001C1752" w:rsidRDefault="00E7264D" w:rsidP="004E00BD">
      <w:pPr>
        <w:spacing w:before="120" w:after="120"/>
        <w:ind w:firstLine="720"/>
        <w:jc w:val="both"/>
        <w:rPr>
          <w:rFonts w:asciiTheme="majorHAnsi" w:hAnsiTheme="majorHAnsi" w:cstheme="majorHAnsi"/>
          <w:lang w:val="nl-NL"/>
        </w:rPr>
      </w:pPr>
      <w:r w:rsidRPr="001C1752">
        <w:rPr>
          <w:rFonts w:asciiTheme="majorHAnsi" w:hAnsiTheme="majorHAnsi" w:cstheme="majorHAnsi"/>
          <w:u w:val="single"/>
          <w:lang w:val="nl-NL"/>
        </w:rPr>
        <w:t>Phương án 2:</w:t>
      </w:r>
      <w:r w:rsidRPr="001C1752">
        <w:rPr>
          <w:rFonts w:asciiTheme="majorHAnsi" w:hAnsiTheme="majorHAnsi" w:cstheme="majorHAnsi"/>
          <w:lang w:val="nl-NL"/>
        </w:rPr>
        <w:t xml:space="preserve"> Điều chỉnh khung thuế BVMT đối với dung dịch HCFC từ 1.000-5.000 đồng/kg lên từ </w:t>
      </w:r>
      <w:r w:rsidR="001130EC" w:rsidRPr="001C1752">
        <w:rPr>
          <w:rFonts w:asciiTheme="majorHAnsi" w:hAnsiTheme="majorHAnsi" w:cstheme="majorHAnsi"/>
          <w:b/>
          <w:lang w:val="nl-NL"/>
        </w:rPr>
        <w:t>4</w:t>
      </w:r>
      <w:r w:rsidRPr="001C1752">
        <w:rPr>
          <w:rFonts w:asciiTheme="majorHAnsi" w:hAnsiTheme="majorHAnsi" w:cstheme="majorHAnsi"/>
          <w:b/>
          <w:lang w:val="nl-NL"/>
        </w:rPr>
        <w:t xml:space="preserve">.000- 20.000 đồng/kg </w:t>
      </w:r>
      <w:r w:rsidR="001130EC" w:rsidRPr="001C1752">
        <w:rPr>
          <w:rFonts w:asciiTheme="majorHAnsi" w:hAnsiTheme="majorHAnsi" w:cstheme="majorHAnsi"/>
          <w:lang w:val="nl-NL"/>
        </w:rPr>
        <w:t xml:space="preserve">(mức tối thiểu </w:t>
      </w:r>
      <w:r w:rsidR="0086719B" w:rsidRPr="001C1752">
        <w:rPr>
          <w:rFonts w:asciiTheme="majorHAnsi" w:hAnsiTheme="majorHAnsi" w:cstheme="majorHAnsi"/>
          <w:lang w:val="nl-NL"/>
        </w:rPr>
        <w:t xml:space="preserve">điều chỉnh tăng </w:t>
      </w:r>
      <w:r w:rsidR="001130EC" w:rsidRPr="001C1752">
        <w:rPr>
          <w:rFonts w:asciiTheme="majorHAnsi" w:hAnsiTheme="majorHAnsi" w:cstheme="majorHAnsi"/>
          <w:lang w:val="nl-NL"/>
        </w:rPr>
        <w:t>bằng mức thuế đang áp dụng, mức đa điều chỉnh tăng bằng 2 lần mức tối đa trong khung thuế hiện hành)</w:t>
      </w:r>
      <w:r w:rsidRPr="001C1752">
        <w:rPr>
          <w:rFonts w:asciiTheme="majorHAnsi" w:hAnsiTheme="majorHAnsi" w:cstheme="majorHAnsi"/>
          <w:lang w:val="nl-NL"/>
        </w:rPr>
        <w:t>.</w:t>
      </w:r>
    </w:p>
    <w:p w:rsidR="00E7264D" w:rsidRPr="001C1752" w:rsidRDefault="00DC0402" w:rsidP="004E00BD">
      <w:pPr>
        <w:spacing w:before="120" w:after="120"/>
        <w:ind w:firstLine="720"/>
        <w:jc w:val="both"/>
        <w:rPr>
          <w:rFonts w:asciiTheme="majorHAnsi" w:hAnsiTheme="majorHAnsi" w:cstheme="majorHAnsi"/>
          <w:lang w:val="nl-NL"/>
        </w:rPr>
      </w:pPr>
      <w:r w:rsidRPr="001C1752">
        <w:rPr>
          <w:lang w:val="nl-NL" w:eastAsia="vi-VN"/>
        </w:rPr>
        <w:t>Đ</w:t>
      </w:r>
      <w:r w:rsidR="00E7264D" w:rsidRPr="001C1752">
        <w:rPr>
          <w:lang w:val="nl-NL" w:eastAsia="vi-VN"/>
        </w:rPr>
        <w:t>ể hạn chế việc sử dụng dung dịch HCFC, khuyến khích việc nhanh chóng loại trừ hoàn toàn việc sử dụng</w:t>
      </w:r>
      <w:r w:rsidR="00BA4EA5">
        <w:rPr>
          <w:lang w:val="nl-NL" w:eastAsia="vi-VN"/>
        </w:rPr>
        <w:t xml:space="preserve"> dung dịch HCFC</w:t>
      </w:r>
      <w:r w:rsidR="00E7264D" w:rsidRPr="001C1752">
        <w:rPr>
          <w:lang w:val="nl-NL" w:eastAsia="vi-VN"/>
        </w:rPr>
        <w:t xml:space="preserve"> theo Nghị định thư Montreal, </w:t>
      </w:r>
      <w:r w:rsidRPr="001C1752">
        <w:rPr>
          <w:lang w:val="nl-NL" w:eastAsia="vi-VN"/>
        </w:rPr>
        <w:t>Bộ Tài chính</w:t>
      </w:r>
      <w:r w:rsidR="00E7264D" w:rsidRPr="001C1752">
        <w:rPr>
          <w:lang w:val="nl-NL" w:eastAsia="vi-VN"/>
        </w:rPr>
        <w:t xml:space="preserve"> </w:t>
      </w:r>
      <w:r w:rsidR="001130EC" w:rsidRPr="001C1752">
        <w:rPr>
          <w:lang w:val="nl-NL" w:eastAsia="vi-VN"/>
        </w:rPr>
        <w:t>chọn</w:t>
      </w:r>
      <w:r w:rsidR="00E7264D" w:rsidRPr="001C1752">
        <w:rPr>
          <w:lang w:val="nl-NL" w:eastAsia="vi-VN"/>
        </w:rPr>
        <w:t xml:space="preserve"> phương án 2.</w:t>
      </w:r>
    </w:p>
    <w:p w:rsidR="006A4902" w:rsidRPr="001C1752" w:rsidRDefault="006A4902" w:rsidP="004E00BD">
      <w:pPr>
        <w:spacing w:before="120" w:after="120"/>
        <w:ind w:firstLine="720"/>
        <w:jc w:val="both"/>
        <w:rPr>
          <w:b/>
          <w:i/>
          <w:lang w:val="nb-NO" w:eastAsia="vi-VN"/>
        </w:rPr>
      </w:pPr>
      <w:r w:rsidRPr="001C1752">
        <w:rPr>
          <w:lang w:val="nb-NO" w:eastAsia="vi-VN"/>
        </w:rPr>
        <w:t xml:space="preserve">(Nội dung này thể hiện tại </w:t>
      </w:r>
      <w:r w:rsidR="00961920" w:rsidRPr="001C1752">
        <w:rPr>
          <w:lang w:val="nb-NO" w:eastAsia="vi-VN"/>
        </w:rPr>
        <w:t>k</w:t>
      </w:r>
      <w:r w:rsidRPr="001C1752">
        <w:rPr>
          <w:lang w:val="nb-NO" w:eastAsia="vi-VN"/>
        </w:rPr>
        <w:t>hoản 6 Điều 1 dự thảo Luật)</w:t>
      </w:r>
    </w:p>
    <w:p w:rsidR="00275BB3" w:rsidRPr="001C1752" w:rsidRDefault="00E3229C" w:rsidP="004E00BD">
      <w:pPr>
        <w:spacing w:before="120" w:after="120"/>
        <w:ind w:firstLine="720"/>
        <w:jc w:val="both"/>
        <w:rPr>
          <w:b/>
          <w:i/>
          <w:lang w:val="nl-NL"/>
        </w:rPr>
      </w:pPr>
      <w:r w:rsidRPr="001C1752">
        <w:rPr>
          <w:b/>
          <w:i/>
          <w:lang w:val="nl-NL"/>
        </w:rPr>
        <w:t>d</w:t>
      </w:r>
      <w:r w:rsidR="00275BB3" w:rsidRPr="001C1752">
        <w:rPr>
          <w:b/>
          <w:i/>
          <w:lang w:val="nl-NL"/>
        </w:rPr>
        <w:t xml:space="preserve">) </w:t>
      </w:r>
      <w:r w:rsidR="006A4902" w:rsidRPr="001C1752">
        <w:rPr>
          <w:b/>
          <w:i/>
          <w:lang w:val="nl-NL"/>
        </w:rPr>
        <w:t xml:space="preserve">Đối với </w:t>
      </w:r>
      <w:r w:rsidR="00275BB3" w:rsidRPr="001C1752">
        <w:rPr>
          <w:b/>
          <w:i/>
          <w:lang w:val="nl-NL"/>
        </w:rPr>
        <w:t xml:space="preserve"> túi ni lông thuộc diện chịu thuế </w:t>
      </w:r>
    </w:p>
    <w:p w:rsidR="006B6CC9" w:rsidRPr="001C1752" w:rsidRDefault="006B6CC9" w:rsidP="004E00BD">
      <w:pPr>
        <w:spacing w:before="120" w:after="120"/>
        <w:ind w:firstLine="720"/>
        <w:jc w:val="both"/>
        <w:rPr>
          <w:lang w:val="nl-NL"/>
        </w:rPr>
      </w:pPr>
      <w:r w:rsidRPr="001C1752">
        <w:rPr>
          <w:lang w:val="nl-NL" w:eastAsia="vi-VN"/>
        </w:rPr>
        <w:t>Luật thuế BVMT quy định khung mức thuế BVMT đối với túi ni lông từ 30.000 đồng/kg - 50.000 đồng/kg, mức thuế hiện hành là 40.000 đồng/kg (</w:t>
      </w:r>
      <w:r w:rsidR="00E0001B" w:rsidRPr="001C1752">
        <w:rPr>
          <w:lang w:val="nl-NL" w:eastAsia="vi-VN"/>
        </w:rPr>
        <w:t xml:space="preserve">tương đương khoảng 200 - 400 đồng/túi </w:t>
      </w:r>
      <w:r w:rsidR="009733A8" w:rsidRPr="001C1752">
        <w:rPr>
          <w:lang w:val="nl-NL" w:eastAsia="vi-VN"/>
        </w:rPr>
        <w:t xml:space="preserve">- </w:t>
      </w:r>
      <w:r w:rsidRPr="001C1752">
        <w:rPr>
          <w:lang w:val="nl-NL" w:eastAsia="vi-VN"/>
        </w:rPr>
        <w:t>1kg túi ni lông có thể có từ 100 - 200 túi</w:t>
      </w:r>
      <w:r w:rsidR="009733A8" w:rsidRPr="001C1752">
        <w:rPr>
          <w:lang w:val="nl-NL" w:eastAsia="vi-VN"/>
        </w:rPr>
        <w:t>)</w:t>
      </w:r>
      <w:r w:rsidRPr="001C1752">
        <w:rPr>
          <w:lang w:val="nl-NL" w:eastAsia="vi-VN"/>
        </w:rPr>
        <w:t>. Nếu tăng mức thuế BVMT đối với túi ni lông lên mức tối đa trong khung thuế là 50.000 đồng/kg thì cũng chỉ tương đương từ 250 - 500 đồng/túi.</w:t>
      </w:r>
    </w:p>
    <w:p w:rsidR="006B6CC9" w:rsidRPr="001C1752" w:rsidRDefault="006B6CC9" w:rsidP="004E00BD">
      <w:pPr>
        <w:spacing w:before="120" w:after="120"/>
        <w:ind w:firstLine="720"/>
        <w:jc w:val="both"/>
        <w:rPr>
          <w:lang w:val="nl-NL"/>
        </w:rPr>
      </w:pPr>
      <w:r w:rsidRPr="001C1752">
        <w:rPr>
          <w:lang w:val="nl-NL" w:eastAsia="vi-VN"/>
        </w:rPr>
        <w:t xml:space="preserve">Theo kinh nghiệm quốc tế thì nhiều nước trên thế giới đang áp dụng mức thuế BVMT cao hoặc cấm sản xuất, bán, sử dụng túi ni lông. Cụ thể như: ở Anh: 15cent/túi, tương đương 4.500 đồng/túi; Ailen: 15cent/túi, tương đương 4.500 đồng/túi; Hồng Kông: 0,05USD/túi, tương đương 1.050 đồng/túi; Estonia đang </w:t>
      </w:r>
      <w:r w:rsidRPr="001C1752">
        <w:rPr>
          <w:lang w:val="nl-NL" w:eastAsia="vi-VN"/>
        </w:rPr>
        <w:lastRenderedPageBreak/>
        <w:t>dự kiến thu thuế đối với túi ni lông ở mức 2 kroons/túi, tương đương 3.000 đồng/túi. Một số nước khác còn cấm sản xuất, bán, sử dụng túi ni lông mỏng, ví dụ như Trung Quốc cấm sản xuất, bán, sử dụng túi ni lông có độ dày nhỏ hơn 0,025mm.</w:t>
      </w:r>
    </w:p>
    <w:p w:rsidR="008F007E" w:rsidRPr="001C1752" w:rsidRDefault="006B6CC9" w:rsidP="004E00BD">
      <w:pPr>
        <w:spacing w:before="120" w:after="120"/>
        <w:ind w:firstLine="720"/>
        <w:jc w:val="both"/>
        <w:rPr>
          <w:lang w:val="nl-NL"/>
        </w:rPr>
      </w:pPr>
      <w:r w:rsidRPr="001C1752">
        <w:rPr>
          <w:lang w:val="nl-NL" w:eastAsia="vi-VN"/>
        </w:rPr>
        <w:t xml:space="preserve">Như vậy, khung và mức thu thuế BVMT đối với túi ni lông của Việt Nam là </w:t>
      </w:r>
      <w:r w:rsidR="00B21E4A" w:rsidRPr="001C1752">
        <w:rPr>
          <w:lang w:val="nl-NL" w:eastAsia="vi-VN"/>
        </w:rPr>
        <w:t xml:space="preserve">rất </w:t>
      </w:r>
      <w:r w:rsidRPr="001C1752">
        <w:rPr>
          <w:lang w:val="nl-NL" w:eastAsia="vi-VN"/>
        </w:rPr>
        <w:t>thấp so với các nước trên thế giới, nên chưa có tác động nhiều tới hạn chế việc sản xuất, sử dụng túi ni lông. Do đó, cùng với các biện pháp quản lý khác, để góp phần thực hiện mục tiêu giảm dần việc sử dụng túi ni lông khó phân hủy trong tiêu dùng, phù hợp với thông lệ quốc tế, đề nghị đ</w:t>
      </w:r>
      <w:r w:rsidRPr="001C1752">
        <w:rPr>
          <w:lang w:val="sv-SE"/>
        </w:rPr>
        <w:t xml:space="preserve">iều chỉnh khung mức thuế BVMT đối với túi ni lông </w:t>
      </w:r>
      <w:r w:rsidR="008F007E" w:rsidRPr="001C1752">
        <w:rPr>
          <w:lang w:val="nl-NL" w:eastAsia="vi-VN"/>
        </w:rPr>
        <w:t xml:space="preserve">từ 30.000-50.000 đồng/kg </w:t>
      </w:r>
      <w:r w:rsidR="008F007E" w:rsidRPr="001C1752">
        <w:rPr>
          <w:lang w:val="nl-NL"/>
        </w:rPr>
        <w:t xml:space="preserve">lên từ </w:t>
      </w:r>
      <w:r w:rsidR="008F007E" w:rsidRPr="001C1752">
        <w:rPr>
          <w:b/>
          <w:lang w:val="nl-NL"/>
        </w:rPr>
        <w:t>40.000-200.000</w:t>
      </w:r>
      <w:r w:rsidR="008F007E" w:rsidRPr="001C1752">
        <w:rPr>
          <w:lang w:val="nl-NL"/>
        </w:rPr>
        <w:t xml:space="preserve"> đồng/kg (</w:t>
      </w:r>
      <w:r w:rsidRPr="001C1752">
        <w:rPr>
          <w:lang w:val="sv-SE"/>
        </w:rPr>
        <w:t>m</w:t>
      </w:r>
      <w:r w:rsidRPr="001C1752">
        <w:rPr>
          <w:lang w:val="nl-NL"/>
        </w:rPr>
        <w:t xml:space="preserve">ức thuế tối thiểu </w:t>
      </w:r>
      <w:r w:rsidR="00BE157F" w:rsidRPr="001C1752">
        <w:rPr>
          <w:lang w:val="nl-NL"/>
        </w:rPr>
        <w:t xml:space="preserve">điều chỉnh tăng </w:t>
      </w:r>
      <w:r w:rsidRPr="001C1752">
        <w:rPr>
          <w:lang w:val="nl-NL"/>
        </w:rPr>
        <w:t xml:space="preserve">bằng mức thuế cụ thể đang áp dụng; mức thuế tối đa </w:t>
      </w:r>
      <w:r w:rsidR="008F007E" w:rsidRPr="001C1752">
        <w:rPr>
          <w:lang w:val="nl-NL"/>
        </w:rPr>
        <w:t xml:space="preserve">điều chỉnh tăng </w:t>
      </w:r>
      <w:r w:rsidRPr="001C1752">
        <w:rPr>
          <w:lang w:val="nl-NL"/>
        </w:rPr>
        <w:t xml:space="preserve">bằng </w:t>
      </w:r>
      <w:r w:rsidR="00A9261A" w:rsidRPr="001C1752">
        <w:rPr>
          <w:lang w:val="nl-NL"/>
        </w:rPr>
        <w:t>4</w:t>
      </w:r>
      <w:r w:rsidRPr="001C1752">
        <w:rPr>
          <w:lang w:val="nl-NL"/>
        </w:rPr>
        <w:t xml:space="preserve"> lần mức thuế </w:t>
      </w:r>
      <w:r w:rsidR="00A9261A" w:rsidRPr="001C1752">
        <w:rPr>
          <w:lang w:val="nl-NL"/>
        </w:rPr>
        <w:t>tối đa trong khung thuế hiện hành</w:t>
      </w:r>
      <w:r w:rsidR="008F007E" w:rsidRPr="001C1752">
        <w:rPr>
          <w:lang w:val="nl-NL"/>
        </w:rPr>
        <w:t>).</w:t>
      </w:r>
    </w:p>
    <w:p w:rsidR="006A4902" w:rsidRPr="001C1752" w:rsidRDefault="006A4902" w:rsidP="004E00BD">
      <w:pPr>
        <w:spacing w:before="120" w:after="120"/>
        <w:ind w:firstLine="720"/>
        <w:jc w:val="both"/>
        <w:rPr>
          <w:b/>
          <w:i/>
          <w:lang w:val="nb-NO" w:eastAsia="vi-VN"/>
        </w:rPr>
      </w:pPr>
      <w:r w:rsidRPr="001C1752">
        <w:rPr>
          <w:lang w:val="nb-NO" w:eastAsia="vi-VN"/>
        </w:rPr>
        <w:t xml:space="preserve">(Nội dung này thể hiện tại </w:t>
      </w:r>
      <w:r w:rsidR="00961920" w:rsidRPr="001C1752">
        <w:rPr>
          <w:lang w:val="nb-NO" w:eastAsia="vi-VN"/>
        </w:rPr>
        <w:t>k</w:t>
      </w:r>
      <w:r w:rsidRPr="001C1752">
        <w:rPr>
          <w:lang w:val="nb-NO" w:eastAsia="vi-VN"/>
        </w:rPr>
        <w:t>hoản 6 Điều 1 dự thảo Luật)</w:t>
      </w:r>
    </w:p>
    <w:p w:rsidR="006B6CC9" w:rsidRPr="001C1752" w:rsidRDefault="00E3229C" w:rsidP="004E00BD">
      <w:pPr>
        <w:spacing w:before="120" w:after="120"/>
        <w:ind w:firstLine="720"/>
        <w:jc w:val="both"/>
        <w:rPr>
          <w:b/>
          <w:i/>
          <w:lang w:val="nl-NL"/>
        </w:rPr>
      </w:pPr>
      <w:r w:rsidRPr="001C1752">
        <w:rPr>
          <w:b/>
          <w:i/>
          <w:lang w:val="nl-NL"/>
        </w:rPr>
        <w:t>đ</w:t>
      </w:r>
      <w:r w:rsidR="006B6CC9" w:rsidRPr="001C1752">
        <w:rPr>
          <w:b/>
          <w:i/>
          <w:lang w:val="nl-NL"/>
        </w:rPr>
        <w:t>) Hàng hóa khác</w:t>
      </w:r>
      <w:r w:rsidR="00630C4B" w:rsidRPr="001C1752">
        <w:rPr>
          <w:b/>
          <w:i/>
          <w:lang w:val="nl-NL"/>
        </w:rPr>
        <w:t xml:space="preserve"> thuộc đối tượng chịu thuế</w:t>
      </w:r>
    </w:p>
    <w:p w:rsidR="006B6CC9" w:rsidRPr="001C1752" w:rsidRDefault="006B6CC9" w:rsidP="004E00BD">
      <w:pPr>
        <w:spacing w:before="120" w:after="120"/>
        <w:ind w:firstLine="720"/>
        <w:jc w:val="both"/>
        <w:rPr>
          <w:lang w:val="nl-NL" w:eastAsia="vi-VN"/>
        </w:rPr>
      </w:pPr>
      <w:r w:rsidRPr="001C1752">
        <w:rPr>
          <w:lang w:val="nl-NL"/>
        </w:rPr>
        <w:t xml:space="preserve">Hàng hóa khác thuộc đối tượng chịu thuế BVMT (than đá; thuốc diệt cỏ, thuốc trừ mối, thuốc bảo quản lâm sản, thuốc khử trùng kho thuộc loại hạn chế sử dụng): mức thuế BVMT cụ thể của các hàng hóa này đang được quy định bằng mức tối thiểu trong khung thuế. </w:t>
      </w:r>
      <w:r w:rsidRPr="001C1752">
        <w:rPr>
          <w:lang w:val="nl-NL" w:eastAsia="vi-VN"/>
        </w:rPr>
        <w:t>Do đó, việc điều chỉnh khung thuế BVMT đối với các hàng hóa này là chưa cần thiết.</w:t>
      </w:r>
    </w:p>
    <w:p w:rsidR="006B6CC9" w:rsidRPr="001C1752" w:rsidRDefault="007C269D" w:rsidP="004E00BD">
      <w:pPr>
        <w:spacing w:before="120" w:after="120"/>
        <w:ind w:firstLine="720"/>
        <w:jc w:val="both"/>
        <w:rPr>
          <w:b/>
          <w:lang w:val="nl-NL"/>
        </w:rPr>
      </w:pPr>
      <w:r w:rsidRPr="001C1752">
        <w:rPr>
          <w:b/>
          <w:lang w:val="nl-NL"/>
        </w:rPr>
        <w:t>7</w:t>
      </w:r>
      <w:r w:rsidR="00FB52AB" w:rsidRPr="001C1752">
        <w:rPr>
          <w:b/>
          <w:lang w:val="nl-NL"/>
        </w:rPr>
        <w:t>. Về thời điểm tính thuế</w:t>
      </w:r>
    </w:p>
    <w:p w:rsidR="006B6CC9" w:rsidRPr="001C1752" w:rsidRDefault="007813CC" w:rsidP="004E00BD">
      <w:pPr>
        <w:spacing w:before="120" w:after="120"/>
        <w:ind w:firstLine="720"/>
        <w:jc w:val="both"/>
        <w:rPr>
          <w:rFonts w:eastAsia="Arial"/>
          <w:lang w:val="nl-NL"/>
        </w:rPr>
      </w:pPr>
      <w:r w:rsidRPr="001C1752">
        <w:rPr>
          <w:lang w:val="sv-SE"/>
        </w:rPr>
        <w:t>Theo quy định</w:t>
      </w:r>
      <w:r w:rsidRPr="001C1752">
        <w:rPr>
          <w:rFonts w:eastAsia="Arial"/>
          <w:lang w:val="nl-NL"/>
        </w:rPr>
        <w:t xml:space="preserve"> t</w:t>
      </w:r>
      <w:r w:rsidR="007C269D" w:rsidRPr="001C1752">
        <w:rPr>
          <w:rFonts w:eastAsia="Arial"/>
          <w:lang w:val="nl-NL"/>
        </w:rPr>
        <w:t xml:space="preserve">ại </w:t>
      </w:r>
      <w:r w:rsidRPr="001C1752">
        <w:rPr>
          <w:lang w:val="sv-SE"/>
        </w:rPr>
        <w:t xml:space="preserve">khoản 4 </w:t>
      </w:r>
      <w:r w:rsidR="006B6CC9" w:rsidRPr="001C1752">
        <w:rPr>
          <w:rFonts w:eastAsia="Arial"/>
          <w:lang w:val="nl-NL"/>
        </w:rPr>
        <w:t xml:space="preserve">Điều 9 Luật thuế BVMT </w:t>
      </w:r>
      <w:r w:rsidRPr="001C1752">
        <w:rPr>
          <w:lang w:val="sv-SE"/>
        </w:rPr>
        <w:t>thì</w:t>
      </w:r>
      <w:r w:rsidRPr="001C1752">
        <w:rPr>
          <w:rFonts w:eastAsia="Arial"/>
          <w:lang w:val="nl-NL"/>
        </w:rPr>
        <w:t xml:space="preserve"> </w:t>
      </w:r>
      <w:r w:rsidR="006B6CC9" w:rsidRPr="001C1752">
        <w:rPr>
          <w:rFonts w:eastAsia="Arial"/>
          <w:lang w:val="nl-NL"/>
        </w:rPr>
        <w:t>thời điểm tính thuế BVMT</w:t>
      </w:r>
      <w:r w:rsidRPr="001C1752">
        <w:rPr>
          <w:rFonts w:eastAsia="Arial"/>
          <w:lang w:val="nl-NL"/>
        </w:rPr>
        <w:t xml:space="preserve"> </w:t>
      </w:r>
      <w:r w:rsidRPr="001C1752">
        <w:rPr>
          <w:lang w:val="sv-SE"/>
        </w:rPr>
        <w:t>đối</w:t>
      </w:r>
      <w:r w:rsidRPr="001C1752">
        <w:rPr>
          <w:rFonts w:eastAsia="Arial"/>
          <w:i/>
          <w:lang w:val="nl-NL"/>
        </w:rPr>
        <w:t xml:space="preserve"> </w:t>
      </w:r>
      <w:r w:rsidR="006B6CC9" w:rsidRPr="001C1752">
        <w:rPr>
          <w:rFonts w:eastAsia="Arial"/>
          <w:lang w:val="nl-NL"/>
        </w:rPr>
        <w:t>với xăng, dầu sản xuất hoặc nhập khẩu để</w:t>
      </w:r>
      <w:r w:rsidRPr="001C1752">
        <w:rPr>
          <w:rFonts w:eastAsia="Arial"/>
          <w:lang w:val="nl-NL"/>
        </w:rPr>
        <w:t xml:space="preserve"> bán </w:t>
      </w:r>
      <w:r w:rsidR="006B6CC9" w:rsidRPr="001C1752">
        <w:rPr>
          <w:rFonts w:eastAsia="Arial"/>
          <w:lang w:val="nl-NL"/>
        </w:rPr>
        <w:t>là thời điểm đầu mối kinh doanh xăng, dầ</w:t>
      </w:r>
      <w:r w:rsidRPr="001C1752">
        <w:rPr>
          <w:rFonts w:eastAsia="Arial"/>
          <w:lang w:val="nl-NL"/>
        </w:rPr>
        <w:t>u bán ra</w:t>
      </w:r>
      <w:r w:rsidRPr="001C1752">
        <w:rPr>
          <w:lang w:val="sv-SE"/>
        </w:rPr>
        <w:t xml:space="preserve"> (do cơ quan thuế thu).</w:t>
      </w:r>
      <w:r w:rsidR="00E3229C" w:rsidRPr="001C1752">
        <w:rPr>
          <w:lang w:val="sv-SE"/>
        </w:rPr>
        <w:t xml:space="preserve"> </w:t>
      </w:r>
      <w:r w:rsidR="006B6CC9" w:rsidRPr="001C1752">
        <w:rPr>
          <w:lang w:val="sv-SE"/>
        </w:rPr>
        <w:t xml:space="preserve">Quy định này đảm bảo nguyên tắc xăng dầu tiêu thụ tại địa phương nào thì kê khai, nộp thuế BVMT tại địa phương đó và phù hợp với quy định của pháp luật về NSNN từ thời điểm 31/12/2016 trở về trước (thuế BVMT là khoản thu phân chia giữa ngân sách trung ương (NSTW) và ngân sách địa phương (NSĐP)). </w:t>
      </w:r>
    </w:p>
    <w:p w:rsidR="00BA641B" w:rsidRPr="001C1752" w:rsidRDefault="00ED0202" w:rsidP="004E00BD">
      <w:pPr>
        <w:spacing w:before="120" w:after="120"/>
        <w:ind w:firstLine="720"/>
        <w:jc w:val="both"/>
        <w:rPr>
          <w:rFonts w:asciiTheme="majorHAnsi" w:eastAsia="Arial" w:hAnsiTheme="majorHAnsi" w:cstheme="majorHAnsi"/>
          <w:lang w:val="nl-NL" w:eastAsia="vi-VN"/>
        </w:rPr>
      </w:pPr>
      <w:r w:rsidRPr="001C1752">
        <w:rPr>
          <w:lang w:val="nl-NL"/>
        </w:rPr>
        <w:t>Tuy nhiên, để phù hợp và tạo điều kiện thuận lợi trong triển khai Luật NSNN năm 2015 (</w:t>
      </w:r>
      <w:r w:rsidRPr="001C1752">
        <w:rPr>
          <w:i/>
          <w:lang w:val="nl-NL"/>
        </w:rPr>
        <w:t xml:space="preserve">Theo Luật NSNN năm 2015 thì </w:t>
      </w:r>
      <w:r w:rsidRPr="001C1752">
        <w:rPr>
          <w:rFonts w:asciiTheme="majorHAnsi" w:hAnsiTheme="majorHAnsi" w:cstheme="majorHAnsi"/>
          <w:i/>
          <w:lang w:val="sv-SE"/>
        </w:rPr>
        <w:t>thuế BVMT thu từ hàng hóa nhập khẩu là khoản thu NSTW hưởng 100%</w:t>
      </w:r>
      <w:r w:rsidRPr="001C1752">
        <w:rPr>
          <w:rFonts w:asciiTheme="majorHAnsi" w:hAnsiTheme="majorHAnsi" w:cstheme="majorHAnsi"/>
          <w:lang w:val="sv-SE"/>
        </w:rPr>
        <w:t>)</w:t>
      </w:r>
      <w:r w:rsidRPr="001C1752">
        <w:rPr>
          <w:lang w:val="nl-NL"/>
        </w:rPr>
        <w:t>; thuận tiện cho doanh nghiệp khi kê khai, nộp thuế (</w:t>
      </w:r>
      <w:r w:rsidRPr="001C1752">
        <w:rPr>
          <w:i/>
          <w:lang w:val="nl-NL"/>
        </w:rPr>
        <w:t xml:space="preserve">không </w:t>
      </w:r>
      <w:r w:rsidRPr="001C1752">
        <w:rPr>
          <w:rFonts w:asciiTheme="majorHAnsi" w:hAnsiTheme="majorHAnsi" w:cstheme="majorHAnsi"/>
          <w:i/>
          <w:lang w:val="nb-NO"/>
        </w:rPr>
        <w:t>phải thống kê riêng lượng xăng dầu nhập khẩu và lượng xăng dầu sản xuất trong nước bán ra</w:t>
      </w:r>
      <w:r w:rsidRPr="001C1752">
        <w:rPr>
          <w:rFonts w:asciiTheme="majorHAnsi" w:hAnsiTheme="majorHAnsi" w:cstheme="majorHAnsi"/>
          <w:lang w:val="nb-NO"/>
        </w:rPr>
        <w:t xml:space="preserve">); </w:t>
      </w:r>
      <w:r w:rsidRPr="001C1752">
        <w:rPr>
          <w:lang w:val="nl-NL"/>
        </w:rPr>
        <w:t xml:space="preserve">thuận lợi cho cơ quan quản lý thu thuế </w:t>
      </w:r>
      <w:r w:rsidRPr="001C1752">
        <w:rPr>
          <w:rFonts w:asciiTheme="majorHAnsi" w:hAnsiTheme="majorHAnsi" w:cstheme="majorHAnsi"/>
          <w:lang w:val="nb-NO"/>
        </w:rPr>
        <w:t>(</w:t>
      </w:r>
      <w:r w:rsidRPr="001C1752">
        <w:rPr>
          <w:rFonts w:asciiTheme="majorHAnsi" w:hAnsiTheme="majorHAnsi" w:cstheme="majorHAnsi"/>
          <w:i/>
          <w:lang w:val="nb-NO"/>
        </w:rPr>
        <w:t>không phải tách riêng số thu thuế đối với xăng dầu nhập khẩu để điều tiết về NSTW và số thu thuế đối với xăng dầu sản xuất trong nước do các công ty kinh doanh xăng dầu bán ra để phân chia giữa NSTW và NSĐP</w:t>
      </w:r>
      <w:r w:rsidRPr="001C1752">
        <w:rPr>
          <w:lang w:val="nl-NL"/>
        </w:rPr>
        <w:t xml:space="preserve">); đồng thời tránh thất thu NSNN </w:t>
      </w:r>
      <w:r w:rsidRPr="001C1752">
        <w:rPr>
          <w:i/>
          <w:lang w:val="nl-NL"/>
        </w:rPr>
        <w:t>(</w:t>
      </w:r>
      <w:r w:rsidRPr="001C1752">
        <w:rPr>
          <w:rFonts w:asciiTheme="majorHAnsi" w:hAnsiTheme="majorHAnsi" w:cstheme="majorHAnsi"/>
          <w:i/>
          <w:lang w:val="sv-SE"/>
        </w:rPr>
        <w:t>do các đơn vị lợi dụng kê khai nhập khẩu xăng dầu để bán nhưng thực tế không bán ra mà chỉ dùng cho sản xuất hoặc dùng cho các mục đích khác)</w:t>
      </w:r>
      <w:r w:rsidRPr="001C1752">
        <w:rPr>
          <w:rFonts w:asciiTheme="majorHAnsi" w:hAnsiTheme="majorHAnsi" w:cstheme="majorHAnsi"/>
          <w:lang w:val="sv-SE"/>
        </w:rPr>
        <w:t>; phù hợp với thời điểm tính thuế của các hàng hóa khác</w:t>
      </w:r>
      <w:r w:rsidRPr="001C1752">
        <w:rPr>
          <w:lang w:val="sv-SE"/>
        </w:rPr>
        <w:t xml:space="preserve">, </w:t>
      </w:r>
      <w:r w:rsidRPr="001C1752">
        <w:rPr>
          <w:lang w:val="nl-NL"/>
        </w:rPr>
        <w:t>đề nghị b</w:t>
      </w:r>
      <w:r w:rsidRPr="001C1752">
        <w:rPr>
          <w:rFonts w:asciiTheme="majorHAnsi" w:eastAsia="Arial" w:hAnsiTheme="majorHAnsi" w:cstheme="majorHAnsi"/>
          <w:lang w:val="nl-NL" w:eastAsia="vi-VN"/>
        </w:rPr>
        <w:t xml:space="preserve">ỏ quy định về thời điểm tính thuế BVMT đối với xăng dầu tại khoản 4 Điều 9 Luật thuế BVMT </w:t>
      </w:r>
      <w:r w:rsidRPr="001C1752">
        <w:rPr>
          <w:rFonts w:asciiTheme="majorHAnsi" w:eastAsia="Arial" w:hAnsiTheme="majorHAnsi" w:cstheme="majorHAnsi"/>
          <w:i/>
          <w:lang w:val="nl-NL" w:eastAsia="vi-VN"/>
        </w:rPr>
        <w:t>(đối với xăng, dầu sản xuất hoặc nhập khẩu để bán, thời điểm tính thuế là thời điểm đầu mối kinh doanh xăng, dầu bán ra)</w:t>
      </w:r>
      <w:r w:rsidRPr="001C1752">
        <w:rPr>
          <w:rFonts w:asciiTheme="majorHAnsi" w:eastAsia="Arial" w:hAnsiTheme="majorHAnsi" w:cstheme="majorHAnsi"/>
          <w:lang w:val="nl-NL" w:eastAsia="vi-VN"/>
        </w:rPr>
        <w:t>.</w:t>
      </w:r>
      <w:r w:rsidR="00BA641B" w:rsidRPr="001C1752">
        <w:rPr>
          <w:rFonts w:asciiTheme="majorHAnsi" w:eastAsia="Arial" w:hAnsiTheme="majorHAnsi" w:cstheme="majorHAnsi"/>
          <w:lang w:val="nl-NL" w:eastAsia="vi-VN"/>
        </w:rPr>
        <w:t xml:space="preserve"> </w:t>
      </w:r>
    </w:p>
    <w:p w:rsidR="006B6CC9" w:rsidRPr="001C1752" w:rsidRDefault="00ED0917" w:rsidP="004E00BD">
      <w:pPr>
        <w:spacing w:before="120" w:after="120"/>
        <w:ind w:firstLine="720"/>
        <w:jc w:val="both"/>
        <w:rPr>
          <w:lang w:val="sv-SE"/>
        </w:rPr>
      </w:pPr>
      <w:r w:rsidRPr="001C1752">
        <w:rPr>
          <w:lang w:val="nb-NO"/>
        </w:rPr>
        <w:lastRenderedPageBreak/>
        <w:t>Theo đó, thời điểm tính thuế BVMT đối với xăng dầu sản xuất, nhập khẩu tương tự như thời điểm tính thuế BVMT đối với các hàng hóa khác. Cụ thể:</w:t>
      </w:r>
    </w:p>
    <w:p w:rsidR="00F31BAC" w:rsidRPr="001C1752" w:rsidRDefault="00F31BAC" w:rsidP="004E00BD">
      <w:pPr>
        <w:spacing w:before="120" w:after="120"/>
        <w:ind w:firstLine="720"/>
        <w:jc w:val="both"/>
        <w:rPr>
          <w:lang w:val="nb-NO"/>
        </w:rPr>
      </w:pPr>
      <w:r w:rsidRPr="001C1752">
        <w:rPr>
          <w:lang w:val="nb-NO"/>
        </w:rPr>
        <w:t>- Đối với xăng dầu nhập khẩu: đơn vị nhập khẩu xăng dầu (gồm có các doanh nghiệp kinh doanh xăng dầu đầu mối) khai, nộp thuế BVMT ngay tại khâu nhập khẩu (số thu điều tiết NSTW 100%).</w:t>
      </w:r>
    </w:p>
    <w:p w:rsidR="00F31BAC" w:rsidRPr="001C1752" w:rsidRDefault="00F31BAC" w:rsidP="004E00BD">
      <w:pPr>
        <w:spacing w:before="120" w:after="120"/>
        <w:ind w:firstLine="720"/>
        <w:jc w:val="both"/>
        <w:rPr>
          <w:lang w:val="nb-NO"/>
        </w:rPr>
      </w:pPr>
      <w:r w:rsidRPr="001C1752">
        <w:rPr>
          <w:lang w:val="nb-NO"/>
        </w:rPr>
        <w:t>- Đối với xăng dầu sản xuất trong nước: các Công ty sản xuất xăng dầu trong nước thực hiện khai, nộp thuế BVMT khi xuất bán các sản phẩm xăng dầu do Công ty trực tiếp sản xuất. Trên cơ sở tổng số thuế BVMT thu từ các Công ty sản xuất xăng dầu trong nước, sẽ thực hiện chia cho các địa phương trên cơ sở sản lượng xăng dầu thực tế tiêu thụ ở địa phương đó, sau đó phân bổ NSTW, NSĐP theo tỷ lệ từng thời kỳ ổn định ngân sách được Quốc hội phê duyệt.</w:t>
      </w:r>
    </w:p>
    <w:p w:rsidR="005317E3" w:rsidRPr="001C1752" w:rsidRDefault="005317E3" w:rsidP="004E00BD">
      <w:pPr>
        <w:spacing w:before="120" w:after="120"/>
        <w:ind w:firstLine="720"/>
        <w:jc w:val="both"/>
        <w:rPr>
          <w:b/>
          <w:i/>
          <w:lang w:val="nb-NO" w:eastAsia="vi-VN"/>
        </w:rPr>
      </w:pPr>
      <w:r w:rsidRPr="001C1752">
        <w:rPr>
          <w:lang w:val="nb-NO" w:eastAsia="vi-VN"/>
        </w:rPr>
        <w:t>(Nội dung này thể hiện tại Điều 2 dự thảo Luật)</w:t>
      </w:r>
    </w:p>
    <w:p w:rsidR="006B6CC9" w:rsidRPr="001C1752" w:rsidRDefault="00ED6864" w:rsidP="004E00BD">
      <w:pPr>
        <w:spacing w:before="120" w:after="120"/>
        <w:ind w:firstLine="720"/>
        <w:jc w:val="both"/>
        <w:rPr>
          <w:b/>
          <w:i/>
          <w:lang w:val="nl-NL"/>
        </w:rPr>
      </w:pPr>
      <w:r w:rsidRPr="001C1752">
        <w:rPr>
          <w:b/>
          <w:lang w:val="nl-NL"/>
        </w:rPr>
        <w:t>8</w:t>
      </w:r>
      <w:r w:rsidR="006B6CC9" w:rsidRPr="001C1752">
        <w:rPr>
          <w:b/>
          <w:lang w:val="nl-NL"/>
        </w:rPr>
        <w:t>. Về hoàn thuế</w:t>
      </w:r>
    </w:p>
    <w:p w:rsidR="00070839" w:rsidRPr="001C1752" w:rsidRDefault="00070839" w:rsidP="004E00BD">
      <w:pPr>
        <w:spacing w:before="120" w:after="120"/>
        <w:ind w:firstLine="720"/>
        <w:jc w:val="both"/>
        <w:rPr>
          <w:b/>
          <w:i/>
          <w:lang w:val="nl-NL"/>
        </w:rPr>
      </w:pPr>
      <w:r w:rsidRPr="001C1752">
        <w:rPr>
          <w:b/>
          <w:i/>
          <w:lang w:val="nl-NL"/>
        </w:rPr>
        <w:t>a) Hàng hóa nhập khẩu được tái xuất khẩu</w:t>
      </w:r>
    </w:p>
    <w:p w:rsidR="008A574B" w:rsidRPr="001C1752" w:rsidRDefault="008A574B" w:rsidP="004E00BD">
      <w:pPr>
        <w:spacing w:before="120" w:after="120"/>
        <w:ind w:firstLine="720"/>
        <w:jc w:val="both"/>
        <w:rPr>
          <w:lang w:val="nl-NL"/>
        </w:rPr>
      </w:pPr>
      <w:r w:rsidRPr="001C1752">
        <w:rPr>
          <w:lang w:val="nl-NL"/>
        </w:rPr>
        <w:t xml:space="preserve">Tại khoản 1 và khoản 4 </w:t>
      </w:r>
      <w:r w:rsidR="00CC50C6" w:rsidRPr="001C1752">
        <w:rPr>
          <w:lang w:val="nl-NL"/>
        </w:rPr>
        <w:t xml:space="preserve">Điều 11 </w:t>
      </w:r>
      <w:r w:rsidRPr="001C1752">
        <w:rPr>
          <w:lang w:val="nl-NL"/>
        </w:rPr>
        <w:t xml:space="preserve">Luật thuế BVMT quy định hoàn thuế BVMT đối với: </w:t>
      </w:r>
      <w:r w:rsidRPr="001C1752">
        <w:rPr>
          <w:i/>
          <w:lang w:val="nl-NL"/>
        </w:rPr>
        <w:t>“Hàng hóa nhập khẩu còn lưu kho, lưu bãi tại cửa khẩu và đang chịu sự giám sát của cơ quan Hải quan, được tái xuất khẩu ra nước ngoài”</w:t>
      </w:r>
      <w:r w:rsidRPr="001C1752">
        <w:rPr>
          <w:lang w:val="nl-NL"/>
        </w:rPr>
        <w:t xml:space="preserve">; và </w:t>
      </w:r>
      <w:r w:rsidRPr="001C1752">
        <w:rPr>
          <w:i/>
          <w:lang w:val="nl-NL"/>
        </w:rPr>
        <w:t>“Hàng hóa nhập khẩu do người nhập khẩu tái xuất khẩu ra nước ngoài”.</w:t>
      </w:r>
    </w:p>
    <w:p w:rsidR="004D3B96" w:rsidRPr="001C1752" w:rsidRDefault="00CC50C6" w:rsidP="004E00BD">
      <w:pPr>
        <w:spacing w:before="120" w:after="120"/>
        <w:ind w:firstLine="720"/>
        <w:jc w:val="both"/>
        <w:rPr>
          <w:lang w:val="nl-NL"/>
        </w:rPr>
      </w:pPr>
      <w:r w:rsidRPr="001C1752">
        <w:rPr>
          <w:lang w:val="nl-NL"/>
        </w:rPr>
        <w:t xml:space="preserve">Đề nghị gộp khoản 1 và khoản 4 </w:t>
      </w:r>
      <w:r w:rsidR="001F3B1F" w:rsidRPr="001C1752">
        <w:rPr>
          <w:lang w:val="nl-NL"/>
        </w:rPr>
        <w:t xml:space="preserve">Điều 11 </w:t>
      </w:r>
      <w:r w:rsidRPr="001C1752">
        <w:rPr>
          <w:lang w:val="nl-NL"/>
        </w:rPr>
        <w:t xml:space="preserve">nêu trên thành 1 khoản để tránh trùng lắp </w:t>
      </w:r>
      <w:r w:rsidR="004D3B96" w:rsidRPr="001C1752">
        <w:rPr>
          <w:lang w:val="nl-NL"/>
        </w:rPr>
        <w:t>như sau: “</w:t>
      </w:r>
      <w:r w:rsidR="004D3B96" w:rsidRPr="001C1752">
        <w:rPr>
          <w:i/>
          <w:lang w:val="nl-NL"/>
        </w:rPr>
        <w:t>Hàng hóa nhập khẩu (bao gồm cả hàng hóa nhập khẩu còn lưu kho, lưu bãi tại cửa khẩu và đang chịu sự giám sát của cơ quan Hải quan) do người nhập khẩu tái xuất khẩu ra nước ngoài”</w:t>
      </w:r>
      <w:r w:rsidR="004D3B96" w:rsidRPr="001C1752">
        <w:rPr>
          <w:lang w:val="nl-NL"/>
        </w:rPr>
        <w:t>.</w:t>
      </w:r>
    </w:p>
    <w:p w:rsidR="00267610" w:rsidRPr="001C1752" w:rsidRDefault="00267610" w:rsidP="004E00BD">
      <w:pPr>
        <w:spacing w:before="120" w:after="120"/>
        <w:ind w:firstLine="720"/>
        <w:jc w:val="both"/>
        <w:rPr>
          <w:b/>
          <w:i/>
          <w:lang w:val="nb-NO" w:eastAsia="vi-VN"/>
        </w:rPr>
      </w:pPr>
      <w:r w:rsidRPr="001C1752">
        <w:rPr>
          <w:lang w:val="nb-NO" w:eastAsia="vi-VN"/>
        </w:rPr>
        <w:t>(Nội dung này thể hiện tại khoản 7 Điều 1 dự thảo Luật)</w:t>
      </w:r>
    </w:p>
    <w:p w:rsidR="00070839" w:rsidRPr="001C1752" w:rsidRDefault="00070839" w:rsidP="004E00BD">
      <w:pPr>
        <w:spacing w:before="120" w:after="120"/>
        <w:ind w:firstLine="720"/>
        <w:jc w:val="both"/>
        <w:rPr>
          <w:b/>
          <w:i/>
          <w:lang w:val="nl-NL"/>
        </w:rPr>
      </w:pPr>
      <w:r w:rsidRPr="001C1752">
        <w:rPr>
          <w:b/>
          <w:i/>
          <w:lang w:val="nl-NL"/>
        </w:rPr>
        <w:t xml:space="preserve">b) Xăng </w:t>
      </w:r>
      <w:r w:rsidR="005C06B1" w:rsidRPr="001C1752">
        <w:rPr>
          <w:b/>
          <w:i/>
          <w:lang w:val="nl-NL"/>
        </w:rPr>
        <w:t xml:space="preserve">dầu </w:t>
      </w:r>
      <w:r w:rsidRPr="001C1752">
        <w:rPr>
          <w:b/>
          <w:i/>
          <w:lang w:val="nl-NL"/>
        </w:rPr>
        <w:t xml:space="preserve">được mua hoặc nhập khẩu để sản xuất xăng </w:t>
      </w:r>
      <w:r w:rsidR="005C06B1" w:rsidRPr="001C1752">
        <w:rPr>
          <w:b/>
          <w:i/>
          <w:lang w:val="nl-NL"/>
        </w:rPr>
        <w:t xml:space="preserve">dầu </w:t>
      </w:r>
      <w:r w:rsidRPr="001C1752">
        <w:rPr>
          <w:b/>
          <w:i/>
          <w:lang w:val="nl-NL"/>
        </w:rPr>
        <w:t>sinh học</w:t>
      </w:r>
    </w:p>
    <w:p w:rsidR="00070839" w:rsidRPr="001C1752" w:rsidRDefault="004D3B96" w:rsidP="004E00BD">
      <w:pPr>
        <w:spacing w:before="120" w:after="120"/>
        <w:ind w:firstLine="720"/>
        <w:jc w:val="both"/>
        <w:rPr>
          <w:i/>
          <w:lang w:val="nl-NL"/>
        </w:rPr>
      </w:pPr>
      <w:r w:rsidRPr="001C1752">
        <w:rPr>
          <w:lang w:val="nl-NL"/>
        </w:rPr>
        <w:t xml:space="preserve">Theo </w:t>
      </w:r>
      <w:r w:rsidR="00C16ED7" w:rsidRPr="001C1752">
        <w:rPr>
          <w:lang w:val="nl-NL"/>
        </w:rPr>
        <w:t xml:space="preserve">nội dung đề xuất sửa đổi </w:t>
      </w:r>
      <w:r w:rsidRPr="001C1752">
        <w:rPr>
          <w:lang w:val="nl-NL"/>
        </w:rPr>
        <w:t xml:space="preserve">tại </w:t>
      </w:r>
      <w:r w:rsidR="002E5814" w:rsidRPr="001C1752">
        <w:rPr>
          <w:lang w:val="nl-NL"/>
        </w:rPr>
        <w:t>mục</w:t>
      </w:r>
      <w:r w:rsidRPr="001C1752">
        <w:rPr>
          <w:lang w:val="nl-NL"/>
        </w:rPr>
        <w:t xml:space="preserve"> 7 nêu trên thì </w:t>
      </w:r>
      <w:r w:rsidR="00A7013F" w:rsidRPr="001C1752">
        <w:rPr>
          <w:lang w:val="nl-NL"/>
        </w:rPr>
        <w:t xml:space="preserve">thời điểm tính thuế BVMT đối với xăng dầu là </w:t>
      </w:r>
      <w:r w:rsidR="002E5814" w:rsidRPr="001C1752">
        <w:rPr>
          <w:lang w:val="nl-NL"/>
        </w:rPr>
        <w:t xml:space="preserve">ngay tại khâu sản xuất hoặc nhập khẩu </w:t>
      </w:r>
      <w:r w:rsidR="00A7013F" w:rsidRPr="001C1752">
        <w:rPr>
          <w:lang w:val="nl-NL"/>
        </w:rPr>
        <w:t>bán ra</w:t>
      </w:r>
      <w:r w:rsidR="00C16ED7" w:rsidRPr="001C1752">
        <w:rPr>
          <w:lang w:val="nl-NL"/>
        </w:rPr>
        <w:t xml:space="preserve">. Do đó, </w:t>
      </w:r>
      <w:r w:rsidR="00070839" w:rsidRPr="001C1752">
        <w:rPr>
          <w:lang w:val="nl-NL"/>
        </w:rPr>
        <w:t xml:space="preserve">phát sinh trường hợp doanh nghiệp kinh doanh xăng dầu mua hoặc nhập khẩu xăng dầu để sản xuất (pha chế, phối trộn) xăng </w:t>
      </w:r>
      <w:r w:rsidR="005C06B1" w:rsidRPr="001C1752">
        <w:rPr>
          <w:lang w:val="nl-NL"/>
        </w:rPr>
        <w:t xml:space="preserve">dầu </w:t>
      </w:r>
      <w:r w:rsidR="00070839" w:rsidRPr="001C1752">
        <w:rPr>
          <w:lang w:val="nl-NL"/>
        </w:rPr>
        <w:t>sinh học sau đó xuất bán</w:t>
      </w:r>
      <w:r w:rsidR="00C16ED7" w:rsidRPr="001C1752">
        <w:rPr>
          <w:lang w:val="nl-NL"/>
        </w:rPr>
        <w:t xml:space="preserve"> sẽ phải kê khai nộp thuế BVMT đối với xăng </w:t>
      </w:r>
      <w:r w:rsidR="008B6D94" w:rsidRPr="001C1752">
        <w:rPr>
          <w:lang w:val="nl-NL"/>
        </w:rPr>
        <w:t>dầu gốc hóa thạch</w:t>
      </w:r>
      <w:r w:rsidR="00C16ED7" w:rsidRPr="001C1752">
        <w:rPr>
          <w:lang w:val="nl-NL"/>
        </w:rPr>
        <w:t xml:space="preserve"> (khi </w:t>
      </w:r>
      <w:r w:rsidR="009E20C6" w:rsidRPr="001C1752">
        <w:rPr>
          <w:lang w:val="nl-NL"/>
        </w:rPr>
        <w:t xml:space="preserve">mua hoặc khi </w:t>
      </w:r>
      <w:r w:rsidR="00C16ED7" w:rsidRPr="001C1752">
        <w:rPr>
          <w:lang w:val="nl-NL"/>
        </w:rPr>
        <w:t xml:space="preserve">nhập khẩu) và xăng </w:t>
      </w:r>
      <w:r w:rsidR="005C06B1" w:rsidRPr="001C1752">
        <w:rPr>
          <w:lang w:val="nl-NL"/>
        </w:rPr>
        <w:t xml:space="preserve">dầu </w:t>
      </w:r>
      <w:r w:rsidR="00C16ED7" w:rsidRPr="001C1752">
        <w:rPr>
          <w:lang w:val="nl-NL"/>
        </w:rPr>
        <w:t xml:space="preserve">sinh học khi xuất bán. Để tránh thu trùng, </w:t>
      </w:r>
      <w:r w:rsidR="00070839" w:rsidRPr="001C1752">
        <w:rPr>
          <w:lang w:val="nl-NL"/>
        </w:rPr>
        <w:t xml:space="preserve">đề nghị khi đơn vị sản xuất xăng </w:t>
      </w:r>
      <w:r w:rsidR="005C06B1" w:rsidRPr="001C1752">
        <w:rPr>
          <w:lang w:val="nl-NL"/>
        </w:rPr>
        <w:t xml:space="preserve">dầu </w:t>
      </w:r>
      <w:r w:rsidR="00070839" w:rsidRPr="001C1752">
        <w:rPr>
          <w:lang w:val="nl-NL"/>
        </w:rPr>
        <w:t xml:space="preserve">sinh học xuất bán xăng sinh học thì được hoàn tiền thuế BVMT tương ứng với số lượng xăng </w:t>
      </w:r>
      <w:r w:rsidR="008B6D94" w:rsidRPr="001C1752">
        <w:rPr>
          <w:lang w:val="nl-NL"/>
        </w:rPr>
        <w:t>dầu gốc hóa thạch</w:t>
      </w:r>
      <w:r w:rsidR="00070839" w:rsidRPr="001C1752">
        <w:rPr>
          <w:lang w:val="nl-NL"/>
        </w:rPr>
        <w:t xml:space="preserve"> có trong xăng </w:t>
      </w:r>
      <w:r w:rsidR="008B6D94" w:rsidRPr="001C1752">
        <w:rPr>
          <w:lang w:val="nl-NL"/>
        </w:rPr>
        <w:t xml:space="preserve">dầu </w:t>
      </w:r>
      <w:r w:rsidR="00070839" w:rsidRPr="001C1752">
        <w:rPr>
          <w:lang w:val="nl-NL"/>
        </w:rPr>
        <w:t>sinh học xuất bán</w:t>
      </w:r>
      <w:r w:rsidR="004F2D6C" w:rsidRPr="001C1752">
        <w:rPr>
          <w:lang w:val="nl-NL"/>
        </w:rPr>
        <w:t xml:space="preserve">. </w:t>
      </w:r>
      <w:r w:rsidR="00070839" w:rsidRPr="001C1752">
        <w:rPr>
          <w:lang w:val="nl-NL"/>
        </w:rPr>
        <w:t xml:space="preserve">Theo đó, đề nghị bổ sung </w:t>
      </w:r>
      <w:r w:rsidR="00085DAB" w:rsidRPr="001C1752">
        <w:rPr>
          <w:lang w:val="nl-NL"/>
        </w:rPr>
        <w:t xml:space="preserve">một khoản </w:t>
      </w:r>
      <w:r w:rsidR="00070839" w:rsidRPr="001C1752">
        <w:rPr>
          <w:lang w:val="nl-NL"/>
        </w:rPr>
        <w:t>tại Điều 11 về hoàn thuế BVMT như</w:t>
      </w:r>
      <w:r w:rsidR="00085DAB" w:rsidRPr="001C1752">
        <w:rPr>
          <w:lang w:val="nl-NL"/>
        </w:rPr>
        <w:t xml:space="preserve"> sau</w:t>
      </w:r>
      <w:r w:rsidR="00070839" w:rsidRPr="001C1752">
        <w:rPr>
          <w:lang w:val="nl-NL"/>
        </w:rPr>
        <w:t>:</w:t>
      </w:r>
      <w:r w:rsidR="00070839" w:rsidRPr="001C1752">
        <w:rPr>
          <w:b/>
          <w:lang w:val="nl-NL"/>
        </w:rPr>
        <w:t xml:space="preserve"> </w:t>
      </w:r>
      <w:r w:rsidR="00070839" w:rsidRPr="001C1752">
        <w:rPr>
          <w:rFonts w:eastAsia="Arial"/>
          <w:i/>
          <w:lang w:val="nl-NL" w:eastAsia="vi-VN"/>
        </w:rPr>
        <w:t>“</w:t>
      </w:r>
      <w:r w:rsidR="00070839" w:rsidRPr="001C1752">
        <w:rPr>
          <w:i/>
          <w:lang w:val="nl-NL"/>
        </w:rPr>
        <w:t xml:space="preserve">Xăng dùng để sản xuất xăng </w:t>
      </w:r>
      <w:r w:rsidR="008B6D94" w:rsidRPr="001C1752">
        <w:rPr>
          <w:i/>
          <w:lang w:val="nl-NL"/>
        </w:rPr>
        <w:t xml:space="preserve">dầu </w:t>
      </w:r>
      <w:r w:rsidR="00070839" w:rsidRPr="001C1752">
        <w:rPr>
          <w:i/>
          <w:lang w:val="nl-NL"/>
        </w:rPr>
        <w:t>sinh học khi xuất bán đã được nộp thuế bảo vệ môi trường khi mua hoặc nhập khẩu”.</w:t>
      </w:r>
    </w:p>
    <w:p w:rsidR="00085DAB" w:rsidRPr="001C1752" w:rsidRDefault="00085DAB" w:rsidP="004E00BD">
      <w:pPr>
        <w:spacing w:before="120" w:after="120"/>
        <w:ind w:firstLine="720"/>
        <w:jc w:val="both"/>
        <w:rPr>
          <w:b/>
          <w:i/>
          <w:lang w:val="nb-NO" w:eastAsia="vi-VN"/>
        </w:rPr>
      </w:pPr>
      <w:r w:rsidRPr="001C1752">
        <w:rPr>
          <w:lang w:val="nb-NO" w:eastAsia="vi-VN"/>
        </w:rPr>
        <w:t>(Nội dung này thể hiện tại khoản 7 Điều 1 dự thảo Luật)</w:t>
      </w:r>
    </w:p>
    <w:p w:rsidR="0001728C" w:rsidRDefault="0001728C" w:rsidP="004E00BD">
      <w:pPr>
        <w:spacing w:before="120" w:after="120"/>
        <w:ind w:firstLine="720"/>
        <w:jc w:val="both"/>
        <w:rPr>
          <w:b/>
          <w:sz w:val="26"/>
          <w:szCs w:val="26"/>
          <w:lang w:val="nl-NL"/>
        </w:rPr>
      </w:pPr>
    </w:p>
    <w:p w:rsidR="0001728C" w:rsidRDefault="0001728C" w:rsidP="004E00BD">
      <w:pPr>
        <w:spacing w:before="120" w:after="120"/>
        <w:ind w:firstLine="720"/>
        <w:jc w:val="both"/>
        <w:rPr>
          <w:b/>
          <w:sz w:val="26"/>
          <w:szCs w:val="26"/>
          <w:lang w:val="nl-NL"/>
        </w:rPr>
      </w:pPr>
    </w:p>
    <w:p w:rsidR="0001728C" w:rsidRDefault="0001728C" w:rsidP="004E00BD">
      <w:pPr>
        <w:spacing w:before="120" w:after="120"/>
        <w:ind w:firstLine="720"/>
        <w:jc w:val="both"/>
        <w:rPr>
          <w:b/>
          <w:sz w:val="26"/>
          <w:szCs w:val="26"/>
          <w:lang w:val="nl-NL"/>
        </w:rPr>
      </w:pPr>
    </w:p>
    <w:p w:rsidR="00070839" w:rsidRPr="001C1752" w:rsidRDefault="000651E0" w:rsidP="004E00BD">
      <w:pPr>
        <w:spacing w:before="120" w:after="120"/>
        <w:ind w:firstLine="720"/>
        <w:jc w:val="both"/>
        <w:rPr>
          <w:b/>
          <w:sz w:val="26"/>
          <w:szCs w:val="26"/>
          <w:lang w:val="nl-NL"/>
        </w:rPr>
      </w:pPr>
      <w:r w:rsidRPr="001C1752">
        <w:rPr>
          <w:b/>
          <w:sz w:val="26"/>
          <w:szCs w:val="26"/>
          <w:lang w:val="nl-NL"/>
        </w:rPr>
        <w:lastRenderedPageBreak/>
        <w:t>V</w:t>
      </w:r>
      <w:r w:rsidR="00E30A30" w:rsidRPr="001C1752">
        <w:rPr>
          <w:b/>
          <w:sz w:val="26"/>
          <w:szCs w:val="26"/>
          <w:lang w:val="nl-NL"/>
        </w:rPr>
        <w:t xml:space="preserve">. </w:t>
      </w:r>
      <w:r w:rsidR="004F12EC" w:rsidRPr="001C1752">
        <w:rPr>
          <w:b/>
          <w:sz w:val="26"/>
          <w:szCs w:val="26"/>
          <w:lang w:val="nl-NL"/>
        </w:rPr>
        <w:t>HÌNH THỨC VÀ BỐ CỤC CỦA DỰ THẢO LUẬT</w:t>
      </w:r>
    </w:p>
    <w:p w:rsidR="004F12EC" w:rsidRPr="001C1752" w:rsidRDefault="004F12EC" w:rsidP="004E00BD">
      <w:pPr>
        <w:spacing w:before="120" w:after="120"/>
        <w:ind w:firstLine="720"/>
        <w:jc w:val="both"/>
        <w:rPr>
          <w:b/>
          <w:lang w:val="nl-NL"/>
        </w:rPr>
      </w:pPr>
      <w:r w:rsidRPr="001C1752">
        <w:rPr>
          <w:b/>
          <w:lang w:val="nl-NL"/>
        </w:rPr>
        <w:t>1. Về hình thức và bố cục của dự thảo Luật</w:t>
      </w:r>
    </w:p>
    <w:p w:rsidR="004F12EC" w:rsidRPr="001C1752" w:rsidRDefault="004F12EC" w:rsidP="004E00BD">
      <w:pPr>
        <w:spacing w:before="120" w:after="120"/>
        <w:ind w:firstLine="720"/>
        <w:jc w:val="both"/>
        <w:rPr>
          <w:lang w:val="nl-NL"/>
        </w:rPr>
      </w:pPr>
      <w:r w:rsidRPr="001C1752">
        <w:rPr>
          <w:lang w:val="nl-NL"/>
        </w:rPr>
        <w:t xml:space="preserve">Do hình thức </w:t>
      </w:r>
      <w:r w:rsidR="00354ABC" w:rsidRPr="001C1752">
        <w:rPr>
          <w:lang w:val="nl-NL"/>
        </w:rPr>
        <w:t xml:space="preserve">Luật </w:t>
      </w:r>
      <w:r w:rsidRPr="001C1752">
        <w:rPr>
          <w:lang w:val="nl-NL"/>
        </w:rPr>
        <w:t>là Luật sửa đổi, bổ sung một số điều của Luật thuế BVMT nên dự thảo Luật được thiết kế gồm 3 Điều:</w:t>
      </w:r>
    </w:p>
    <w:p w:rsidR="004F12EC" w:rsidRPr="001C1752" w:rsidRDefault="004F12EC" w:rsidP="004E00BD">
      <w:pPr>
        <w:spacing w:before="120" w:after="120"/>
        <w:ind w:firstLine="720"/>
        <w:jc w:val="both"/>
        <w:rPr>
          <w:lang w:val="nl-NL"/>
        </w:rPr>
      </w:pPr>
      <w:r w:rsidRPr="001C1752">
        <w:rPr>
          <w:lang w:val="nl-NL"/>
        </w:rPr>
        <w:t>- Điều 1</w:t>
      </w:r>
      <w:r w:rsidR="00B400E3" w:rsidRPr="001C1752">
        <w:rPr>
          <w:lang w:val="nl-NL"/>
        </w:rPr>
        <w:t>: Sửa đổi, bổ sung một số điều của Luật thuế BVMT.</w:t>
      </w:r>
    </w:p>
    <w:p w:rsidR="00B400E3" w:rsidRPr="001C1752" w:rsidRDefault="00B400E3" w:rsidP="004E00BD">
      <w:pPr>
        <w:spacing w:before="120" w:after="120"/>
        <w:ind w:firstLine="720"/>
        <w:jc w:val="both"/>
        <w:rPr>
          <w:lang w:val="nl-NL"/>
        </w:rPr>
      </w:pPr>
      <w:r w:rsidRPr="001C1752">
        <w:rPr>
          <w:lang w:val="nl-NL"/>
        </w:rPr>
        <w:t>- Điều 2: Bãi bỏ một số khoản của Luật thuế BVMT.</w:t>
      </w:r>
    </w:p>
    <w:p w:rsidR="00B400E3" w:rsidRPr="001C1752" w:rsidRDefault="00B400E3" w:rsidP="004E00BD">
      <w:pPr>
        <w:spacing w:before="120" w:after="120"/>
        <w:ind w:firstLine="720"/>
        <w:jc w:val="both"/>
        <w:rPr>
          <w:lang w:val="nl-NL"/>
        </w:rPr>
      </w:pPr>
      <w:r w:rsidRPr="001C1752">
        <w:rPr>
          <w:lang w:val="nl-NL"/>
        </w:rPr>
        <w:t>- Điều 3: Hiệu lực thi hành.</w:t>
      </w:r>
    </w:p>
    <w:p w:rsidR="00070839" w:rsidRPr="001C1752" w:rsidRDefault="004F12EC" w:rsidP="004E00BD">
      <w:pPr>
        <w:spacing w:before="120" w:after="120"/>
        <w:ind w:firstLine="720"/>
        <w:jc w:val="both"/>
        <w:rPr>
          <w:b/>
          <w:bCs/>
          <w:lang w:val="sv-SE"/>
        </w:rPr>
      </w:pPr>
      <w:r w:rsidRPr="001C1752">
        <w:rPr>
          <w:b/>
          <w:bCs/>
          <w:lang w:val="sv-SE"/>
        </w:rPr>
        <w:t>2</w:t>
      </w:r>
      <w:r w:rsidR="000D1A27">
        <w:rPr>
          <w:b/>
          <w:bCs/>
          <w:lang w:val="sv-SE"/>
        </w:rPr>
        <w:t>. Về hiệu lực thi hành</w:t>
      </w:r>
    </w:p>
    <w:p w:rsidR="00992751" w:rsidRPr="001C1752" w:rsidRDefault="00992751" w:rsidP="004E00BD">
      <w:pPr>
        <w:spacing w:before="120" w:after="120"/>
        <w:ind w:firstLine="709"/>
        <w:jc w:val="both"/>
        <w:rPr>
          <w:lang w:val="nl-NL"/>
        </w:rPr>
      </w:pPr>
      <w:r w:rsidRPr="001C1752">
        <w:rPr>
          <w:lang w:val="nl-NL"/>
        </w:rPr>
        <w:t xml:space="preserve">Để phù hợp với bối cảnh phát triển kinh tế - xã hội và hội nhập quốc tế ngày càng sâu, rộng; đảm bảo thực hiện mục tiêu và giải pháp cơ cấu lại NSNN đã được đề ra tại Nghị quyết số 07-NQ/TW của Bộ Chính trị và Nghị quyết số 25/2016/QH14 của Quốc hội, đề nghị </w:t>
      </w:r>
      <w:r w:rsidR="00070839" w:rsidRPr="001C1752">
        <w:rPr>
          <w:lang w:val="nl-NL"/>
        </w:rPr>
        <w:t xml:space="preserve">trình Quốc hội </w:t>
      </w:r>
      <w:r w:rsidRPr="001C1752">
        <w:rPr>
          <w:lang w:val="nl-NL"/>
        </w:rPr>
        <w:t xml:space="preserve">thông qua dự án Luật </w:t>
      </w:r>
      <w:r w:rsidR="00070839" w:rsidRPr="001C1752">
        <w:rPr>
          <w:lang w:val="nl-NL"/>
        </w:rPr>
        <w:t>tại kỳ họp thứ 4 (tháng 10/2017) và thông qua tại 01 (một) kỳ họp.</w:t>
      </w:r>
    </w:p>
    <w:p w:rsidR="00992751" w:rsidRPr="001C1752" w:rsidRDefault="00992751" w:rsidP="004E00BD">
      <w:pPr>
        <w:spacing w:before="120" w:after="120"/>
        <w:ind w:firstLine="709"/>
        <w:jc w:val="both"/>
        <w:rPr>
          <w:lang w:val="nl-NL"/>
        </w:rPr>
      </w:pPr>
      <w:r w:rsidRPr="001C1752">
        <w:rPr>
          <w:lang w:val="nl-NL"/>
        </w:rPr>
        <w:t>Theo đó, đề nghị hiệu lực thi hành của dự án Luật là từ ngày 01/7/2018</w:t>
      </w:r>
      <w:r w:rsidR="00070839" w:rsidRPr="001C1752">
        <w:rPr>
          <w:lang w:val="nl-NL"/>
        </w:rPr>
        <w:t xml:space="preserve"> </w:t>
      </w:r>
      <w:r w:rsidRPr="001C1752">
        <w:rPr>
          <w:lang w:val="nl-NL"/>
        </w:rPr>
        <w:t>để</w:t>
      </w:r>
      <w:r w:rsidR="00070839" w:rsidRPr="001C1752">
        <w:rPr>
          <w:lang w:val="nl-NL"/>
        </w:rPr>
        <w:t xml:space="preserve"> bảo đảm kịp thời ban hành văn bản hướng dẫn thi hành, thực hiện công tác tuyên truyền và chuẩn bị điều kiện quản lý cho cả doanh nghi</w:t>
      </w:r>
      <w:r w:rsidRPr="001C1752">
        <w:rPr>
          <w:lang w:val="nl-NL"/>
        </w:rPr>
        <w:t>ệp và cơ quan quản lý thu thuế.</w:t>
      </w:r>
    </w:p>
    <w:p w:rsidR="00070839" w:rsidRPr="001C1752" w:rsidRDefault="00070839" w:rsidP="004E00BD">
      <w:pPr>
        <w:spacing w:before="120" w:after="120"/>
        <w:ind w:firstLine="709"/>
        <w:jc w:val="both"/>
        <w:rPr>
          <w:lang w:val="sv-SE"/>
        </w:rPr>
      </w:pPr>
      <w:r w:rsidRPr="001C1752">
        <w:rPr>
          <w:lang w:val="nl-NL"/>
        </w:rPr>
        <w:t>(</w:t>
      </w:r>
      <w:r w:rsidR="0023673D" w:rsidRPr="001C1752">
        <w:rPr>
          <w:lang w:val="nl-NL"/>
        </w:rPr>
        <w:t xml:space="preserve">Nội dung này </w:t>
      </w:r>
      <w:r w:rsidRPr="001C1752">
        <w:rPr>
          <w:lang w:val="nl-NL"/>
        </w:rPr>
        <w:t>thể hiện tại Điều 3 dự thảo Luật).</w:t>
      </w:r>
    </w:p>
    <w:p w:rsidR="00532588" w:rsidRPr="001C1752" w:rsidRDefault="00070839" w:rsidP="004E00BD">
      <w:pPr>
        <w:spacing w:before="120" w:after="120"/>
        <w:ind w:firstLine="720"/>
        <w:jc w:val="both"/>
        <w:rPr>
          <w:b/>
          <w:sz w:val="26"/>
          <w:szCs w:val="26"/>
          <w:lang w:val="nl-NL"/>
        </w:rPr>
      </w:pPr>
      <w:r w:rsidRPr="001C1752">
        <w:rPr>
          <w:b/>
          <w:sz w:val="26"/>
          <w:szCs w:val="26"/>
          <w:lang w:val="nl-NL"/>
        </w:rPr>
        <w:t xml:space="preserve">VI. </w:t>
      </w:r>
      <w:r w:rsidR="000651E0" w:rsidRPr="001C1752">
        <w:rPr>
          <w:b/>
          <w:sz w:val="26"/>
          <w:szCs w:val="26"/>
          <w:lang w:val="nl-NL"/>
        </w:rPr>
        <w:t>NHỮNG VẤN ĐỀ XIN Ý KIẾN</w:t>
      </w:r>
    </w:p>
    <w:p w:rsidR="00E30A30" w:rsidRPr="001C1752" w:rsidRDefault="00E30A30" w:rsidP="004E00BD">
      <w:pPr>
        <w:spacing w:before="120" w:after="120"/>
        <w:ind w:firstLine="720"/>
        <w:jc w:val="both"/>
        <w:rPr>
          <w:lang w:val="nl-NL"/>
        </w:rPr>
      </w:pPr>
      <w:r w:rsidRPr="001C1752">
        <w:rPr>
          <w:lang w:val="nl-NL"/>
        </w:rPr>
        <w:t>...</w:t>
      </w:r>
    </w:p>
    <w:p w:rsidR="00F85229" w:rsidRPr="001C1752" w:rsidRDefault="00F85229" w:rsidP="004E00BD">
      <w:pPr>
        <w:spacing w:before="120" w:after="120"/>
        <w:ind w:firstLine="720"/>
        <w:jc w:val="both"/>
        <w:rPr>
          <w:lang w:val="nl-NL"/>
        </w:rPr>
      </w:pPr>
      <w:r w:rsidRPr="001C1752">
        <w:rPr>
          <w:lang w:val="nl-NL"/>
        </w:rPr>
        <w:t xml:space="preserve">Trên đây là </w:t>
      </w:r>
      <w:r w:rsidR="00B400E3" w:rsidRPr="001C1752">
        <w:rPr>
          <w:lang w:val="nl-NL"/>
        </w:rPr>
        <w:t xml:space="preserve">những nội dung của </w:t>
      </w:r>
      <w:r w:rsidRPr="001C1752">
        <w:rPr>
          <w:lang w:val="nl-NL"/>
        </w:rPr>
        <w:t xml:space="preserve">dự án </w:t>
      </w:r>
      <w:r w:rsidR="00ED6864" w:rsidRPr="001C1752">
        <w:rPr>
          <w:lang w:val="nl-NL"/>
        </w:rPr>
        <w:t xml:space="preserve">Luật sửa đổi, bổ sung một số điều của </w:t>
      </w:r>
      <w:r w:rsidRPr="001C1752">
        <w:rPr>
          <w:lang w:val="nl-NL"/>
        </w:rPr>
        <w:t xml:space="preserve">Luật thuế BVMT. </w:t>
      </w:r>
      <w:r w:rsidR="00C63F96" w:rsidRPr="001C1752">
        <w:rPr>
          <w:lang w:val="nl-NL"/>
        </w:rPr>
        <w:t>Bộ Tài chính</w:t>
      </w:r>
      <w:r w:rsidRPr="001C1752">
        <w:rPr>
          <w:lang w:val="nl-NL"/>
        </w:rPr>
        <w:t xml:space="preserve"> </w:t>
      </w:r>
      <w:r w:rsidR="000651E0" w:rsidRPr="001C1752">
        <w:rPr>
          <w:lang w:val="nl-NL"/>
        </w:rPr>
        <w:t xml:space="preserve">xin </w:t>
      </w:r>
      <w:r w:rsidRPr="001C1752">
        <w:rPr>
          <w:lang w:val="nl-NL"/>
        </w:rPr>
        <w:t xml:space="preserve">kính trình </w:t>
      </w:r>
      <w:r w:rsidR="00C63F96" w:rsidRPr="001C1752">
        <w:rPr>
          <w:lang w:val="nl-NL"/>
        </w:rPr>
        <w:t>Chính phủ</w:t>
      </w:r>
      <w:r w:rsidRPr="001C1752">
        <w:rPr>
          <w:lang w:val="nl-NL"/>
        </w:rPr>
        <w:t xml:space="preserve"> xem xét, quyết định./.</w:t>
      </w:r>
    </w:p>
    <w:p w:rsidR="00582A50" w:rsidRPr="00D15FF0" w:rsidRDefault="00582A50" w:rsidP="00157458">
      <w:pPr>
        <w:spacing w:before="60" w:after="60"/>
        <w:ind w:firstLine="720"/>
        <w:jc w:val="both"/>
        <w:rPr>
          <w:i/>
          <w:sz w:val="12"/>
          <w:lang w:val="nl-NL"/>
        </w:rPr>
      </w:pPr>
    </w:p>
    <w:tbl>
      <w:tblPr>
        <w:tblW w:w="9612" w:type="dxa"/>
        <w:tblInd w:w="392" w:type="dxa"/>
        <w:tblLook w:val="0000"/>
      </w:tblPr>
      <w:tblGrid>
        <w:gridCol w:w="3794"/>
        <w:gridCol w:w="425"/>
        <w:gridCol w:w="5393"/>
      </w:tblGrid>
      <w:tr w:rsidR="00F85229" w:rsidRPr="007F0216" w:rsidTr="00582A50">
        <w:trPr>
          <w:trHeight w:val="1728"/>
        </w:trPr>
        <w:tc>
          <w:tcPr>
            <w:tcW w:w="3794" w:type="dxa"/>
          </w:tcPr>
          <w:p w:rsidR="00F85229" w:rsidRPr="001C1752" w:rsidRDefault="00F85229" w:rsidP="001C0ACA">
            <w:pPr>
              <w:jc w:val="both"/>
              <w:rPr>
                <w:bCs/>
                <w:sz w:val="24"/>
                <w:szCs w:val="24"/>
                <w:lang w:val="nl-NL"/>
              </w:rPr>
            </w:pPr>
            <w:r w:rsidRPr="001C1752">
              <w:rPr>
                <w:b/>
                <w:i/>
                <w:sz w:val="24"/>
                <w:szCs w:val="24"/>
                <w:lang w:val="nl-NL"/>
              </w:rPr>
              <w:t>Nơi nhận:</w:t>
            </w:r>
          </w:p>
          <w:p w:rsidR="00F85229" w:rsidRPr="001C1752" w:rsidRDefault="00F85229" w:rsidP="001C0ACA">
            <w:pPr>
              <w:jc w:val="both"/>
              <w:rPr>
                <w:bCs/>
                <w:sz w:val="22"/>
                <w:szCs w:val="22"/>
                <w:lang w:val="nl-NL"/>
              </w:rPr>
            </w:pPr>
            <w:r w:rsidRPr="001C1752">
              <w:rPr>
                <w:bCs/>
                <w:sz w:val="22"/>
                <w:szCs w:val="22"/>
                <w:lang w:val="nl-NL"/>
              </w:rPr>
              <w:t>- Như trên;</w:t>
            </w:r>
          </w:p>
          <w:p w:rsidR="00AC09E4" w:rsidRPr="001C1752" w:rsidRDefault="00AC09E4" w:rsidP="001C0ACA">
            <w:pPr>
              <w:jc w:val="both"/>
              <w:rPr>
                <w:bCs/>
                <w:sz w:val="22"/>
                <w:szCs w:val="22"/>
                <w:lang w:val="nl-NL"/>
              </w:rPr>
            </w:pPr>
            <w:r w:rsidRPr="001C1752">
              <w:rPr>
                <w:bCs/>
                <w:sz w:val="22"/>
                <w:szCs w:val="22"/>
                <w:lang w:val="nl-NL"/>
              </w:rPr>
              <w:t>- Thủ tướng Chính phủ (để b/c);</w:t>
            </w:r>
          </w:p>
          <w:p w:rsidR="00AC09E4" w:rsidRPr="001C1752" w:rsidRDefault="00AC09E4" w:rsidP="001C0ACA">
            <w:pPr>
              <w:jc w:val="both"/>
              <w:rPr>
                <w:bCs/>
                <w:sz w:val="22"/>
                <w:szCs w:val="22"/>
                <w:lang w:val="nl-NL"/>
              </w:rPr>
            </w:pPr>
            <w:r w:rsidRPr="001C1752">
              <w:rPr>
                <w:bCs/>
                <w:sz w:val="22"/>
                <w:szCs w:val="22"/>
                <w:lang w:val="nl-NL"/>
              </w:rPr>
              <w:t>- Các Phó thủ tướng Chính phủ (để b/c)</w:t>
            </w:r>
          </w:p>
          <w:p w:rsidR="00F85229" w:rsidRPr="001C1752" w:rsidRDefault="00F85229" w:rsidP="001C0ACA">
            <w:pPr>
              <w:jc w:val="both"/>
              <w:rPr>
                <w:bCs/>
                <w:sz w:val="22"/>
                <w:szCs w:val="22"/>
                <w:lang w:val="nl-NL"/>
              </w:rPr>
            </w:pPr>
            <w:r w:rsidRPr="001C1752">
              <w:rPr>
                <w:bCs/>
                <w:sz w:val="22"/>
                <w:szCs w:val="22"/>
                <w:lang w:val="nl-NL"/>
              </w:rPr>
              <w:t>- Văn phòng Chính phủ;</w:t>
            </w:r>
          </w:p>
          <w:p w:rsidR="00F85229" w:rsidRPr="001C1752" w:rsidRDefault="00F85229" w:rsidP="001C0ACA">
            <w:pPr>
              <w:jc w:val="both"/>
              <w:rPr>
                <w:bCs/>
                <w:sz w:val="22"/>
                <w:szCs w:val="22"/>
                <w:lang w:val="nl-NL"/>
              </w:rPr>
            </w:pPr>
            <w:r w:rsidRPr="001C1752">
              <w:rPr>
                <w:bCs/>
                <w:sz w:val="22"/>
                <w:szCs w:val="22"/>
                <w:lang w:val="nl-NL"/>
              </w:rPr>
              <w:t>- Bộ Tư pháp;</w:t>
            </w:r>
          </w:p>
          <w:p w:rsidR="00F85229" w:rsidRPr="001C1752" w:rsidRDefault="00F85229" w:rsidP="001C0ACA">
            <w:pPr>
              <w:jc w:val="both"/>
              <w:rPr>
                <w:bCs/>
                <w:sz w:val="27"/>
                <w:szCs w:val="27"/>
                <w:lang w:val="nl-NL"/>
              </w:rPr>
            </w:pPr>
            <w:r w:rsidRPr="001C1752">
              <w:rPr>
                <w:bCs/>
                <w:sz w:val="22"/>
                <w:szCs w:val="22"/>
                <w:lang w:val="nl-NL"/>
              </w:rPr>
              <w:t>- Lưu: VT, CST (P4).</w:t>
            </w:r>
          </w:p>
        </w:tc>
        <w:tc>
          <w:tcPr>
            <w:tcW w:w="425" w:type="dxa"/>
          </w:tcPr>
          <w:p w:rsidR="00F85229" w:rsidRPr="001C1752" w:rsidRDefault="00F85229" w:rsidP="001C0ACA">
            <w:pPr>
              <w:jc w:val="both"/>
              <w:rPr>
                <w:bCs/>
                <w:sz w:val="27"/>
                <w:szCs w:val="27"/>
                <w:lang w:val="nl-NL"/>
              </w:rPr>
            </w:pPr>
          </w:p>
        </w:tc>
        <w:tc>
          <w:tcPr>
            <w:tcW w:w="5393" w:type="dxa"/>
          </w:tcPr>
          <w:p w:rsidR="00F85229" w:rsidRPr="001C1752" w:rsidRDefault="00F85229" w:rsidP="001C0ACA">
            <w:pPr>
              <w:pStyle w:val="Heading4"/>
              <w:rPr>
                <w:rFonts w:ascii="Times New Roman" w:hAnsi="Times New Roman"/>
                <w:sz w:val="27"/>
                <w:szCs w:val="27"/>
                <w:lang w:val="nl-NL"/>
              </w:rPr>
            </w:pPr>
            <w:r w:rsidRPr="001C1752">
              <w:rPr>
                <w:rFonts w:ascii="Times New Roman" w:hAnsi="Times New Roman"/>
                <w:sz w:val="26"/>
                <w:szCs w:val="26"/>
                <w:lang w:val="nl-NL"/>
              </w:rPr>
              <w:t xml:space="preserve">BỘ TRƯỞNG </w:t>
            </w:r>
          </w:p>
          <w:p w:rsidR="00F85229" w:rsidRPr="001C1752" w:rsidRDefault="00F85229" w:rsidP="001C0ACA">
            <w:pPr>
              <w:rPr>
                <w:sz w:val="27"/>
                <w:szCs w:val="27"/>
                <w:lang w:val="nl-NL"/>
              </w:rPr>
            </w:pPr>
          </w:p>
          <w:p w:rsidR="00F85229" w:rsidRPr="001C1752" w:rsidRDefault="00F85229" w:rsidP="001C0ACA">
            <w:pPr>
              <w:ind w:left="642" w:hanging="642"/>
              <w:rPr>
                <w:sz w:val="27"/>
                <w:szCs w:val="27"/>
                <w:lang w:val="nl-NL"/>
              </w:rPr>
            </w:pPr>
          </w:p>
          <w:p w:rsidR="00F85229" w:rsidRPr="001C1752" w:rsidRDefault="00F85229" w:rsidP="001C0ACA">
            <w:pPr>
              <w:rPr>
                <w:sz w:val="27"/>
                <w:szCs w:val="27"/>
                <w:lang w:val="nl-NL"/>
              </w:rPr>
            </w:pPr>
          </w:p>
          <w:p w:rsidR="00F85229" w:rsidRPr="001C1752" w:rsidRDefault="00F85229" w:rsidP="001C0ACA">
            <w:pPr>
              <w:rPr>
                <w:sz w:val="27"/>
                <w:szCs w:val="27"/>
                <w:lang w:val="nl-NL"/>
              </w:rPr>
            </w:pPr>
          </w:p>
          <w:p w:rsidR="00F85229" w:rsidRPr="001C1752" w:rsidRDefault="00F85229" w:rsidP="001C0ACA">
            <w:pPr>
              <w:pStyle w:val="Heading4"/>
              <w:rPr>
                <w:rFonts w:ascii="Times New Roman" w:hAnsi="Times New Roman"/>
                <w:szCs w:val="28"/>
                <w:lang w:val="nl-NL"/>
              </w:rPr>
            </w:pPr>
            <w:r w:rsidRPr="001C1752">
              <w:rPr>
                <w:rFonts w:ascii="Times New Roman" w:hAnsi="Times New Roman"/>
                <w:szCs w:val="28"/>
                <w:lang w:val="nl-NL"/>
              </w:rPr>
              <w:t xml:space="preserve">  Đinh Tiến Dũng</w:t>
            </w:r>
          </w:p>
        </w:tc>
      </w:tr>
    </w:tbl>
    <w:p w:rsidR="00F85229" w:rsidRPr="001C1752" w:rsidRDefault="00F85229" w:rsidP="00F85229">
      <w:pPr>
        <w:rPr>
          <w:lang w:val="nl-NL"/>
        </w:rPr>
      </w:pPr>
    </w:p>
    <w:p w:rsidR="00A1152A" w:rsidRPr="001C1752" w:rsidRDefault="00A1152A">
      <w:pPr>
        <w:rPr>
          <w:lang w:val="nl-NL"/>
        </w:rPr>
      </w:pPr>
    </w:p>
    <w:sectPr w:rsidR="00A1152A" w:rsidRPr="001C1752" w:rsidSect="004C71AA">
      <w:footerReference w:type="even" r:id="rId8"/>
      <w:footerReference w:type="default" r:id="rId9"/>
      <w:pgSz w:w="11907" w:h="16840" w:code="9"/>
      <w:pgMar w:top="1134" w:right="1134" w:bottom="1134" w:left="1701"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715" w:rsidRDefault="00A67715" w:rsidP="00F85229">
      <w:r>
        <w:separator/>
      </w:r>
    </w:p>
  </w:endnote>
  <w:endnote w:type="continuationSeparator" w:id="1">
    <w:p w:rsidR="00A67715" w:rsidRDefault="00A67715" w:rsidP="00F85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H">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C0" w:rsidRDefault="00075094">
    <w:pPr>
      <w:pStyle w:val="Footer"/>
      <w:framePr w:wrap="around" w:vAnchor="text" w:hAnchor="margin" w:xAlign="center" w:y="1"/>
      <w:rPr>
        <w:rStyle w:val="PageNumber"/>
      </w:rPr>
    </w:pPr>
    <w:r>
      <w:rPr>
        <w:rStyle w:val="PageNumber"/>
      </w:rPr>
      <w:fldChar w:fldCharType="begin"/>
    </w:r>
    <w:r w:rsidR="00F67CC0">
      <w:rPr>
        <w:rStyle w:val="PageNumber"/>
      </w:rPr>
      <w:instrText xml:space="preserve">PAGE  </w:instrText>
    </w:r>
    <w:r>
      <w:rPr>
        <w:rStyle w:val="PageNumber"/>
      </w:rPr>
      <w:fldChar w:fldCharType="end"/>
    </w:r>
  </w:p>
  <w:p w:rsidR="00F67CC0" w:rsidRDefault="00F67C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1327"/>
      <w:docPartObj>
        <w:docPartGallery w:val="Page Numbers (Bottom of Page)"/>
        <w:docPartUnique/>
      </w:docPartObj>
    </w:sdtPr>
    <w:sdtEndPr>
      <w:rPr>
        <w:sz w:val="24"/>
        <w:szCs w:val="24"/>
      </w:rPr>
    </w:sdtEndPr>
    <w:sdtContent>
      <w:p w:rsidR="00F67CC0" w:rsidRDefault="00075094" w:rsidP="00115F53">
        <w:pPr>
          <w:pStyle w:val="Footer"/>
          <w:framePr w:wrap="around" w:vAnchor="text" w:hAnchor="margin" w:xAlign="center" w:y="1"/>
          <w:jc w:val="right"/>
        </w:pPr>
        <w:r w:rsidRPr="004908BC">
          <w:rPr>
            <w:sz w:val="24"/>
            <w:szCs w:val="24"/>
          </w:rPr>
          <w:fldChar w:fldCharType="begin"/>
        </w:r>
        <w:r w:rsidR="00F67CC0" w:rsidRPr="004908BC">
          <w:rPr>
            <w:sz w:val="24"/>
            <w:szCs w:val="24"/>
          </w:rPr>
          <w:instrText xml:space="preserve"> PAGE   \* MERGEFORMAT </w:instrText>
        </w:r>
        <w:r w:rsidRPr="004908BC">
          <w:rPr>
            <w:sz w:val="24"/>
            <w:szCs w:val="24"/>
          </w:rPr>
          <w:fldChar w:fldCharType="separate"/>
        </w:r>
        <w:r w:rsidR="00477A44">
          <w:rPr>
            <w:noProof/>
            <w:sz w:val="24"/>
            <w:szCs w:val="24"/>
          </w:rPr>
          <w:t>19</w:t>
        </w:r>
        <w:r w:rsidRPr="004908BC">
          <w:rPr>
            <w:sz w:val="24"/>
            <w:szCs w:val="24"/>
          </w:rPr>
          <w:fldChar w:fldCharType="end"/>
        </w:r>
      </w:p>
    </w:sdtContent>
  </w:sdt>
  <w:p w:rsidR="00F67CC0" w:rsidRPr="00952453" w:rsidRDefault="00F67CC0">
    <w:pPr>
      <w:pStyle w:val="Footer"/>
      <w:framePr w:wrap="around" w:vAnchor="text" w:hAnchor="margin" w:xAlign="center" w:y="1"/>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715" w:rsidRDefault="00A67715" w:rsidP="00F85229">
      <w:r>
        <w:separator/>
      </w:r>
    </w:p>
  </w:footnote>
  <w:footnote w:type="continuationSeparator" w:id="1">
    <w:p w:rsidR="00A67715" w:rsidRDefault="00A67715" w:rsidP="00F85229">
      <w:r>
        <w:continuationSeparator/>
      </w:r>
    </w:p>
  </w:footnote>
  <w:footnote w:id="2">
    <w:p w:rsidR="00F67CC0" w:rsidRPr="00A719D9" w:rsidRDefault="00F67CC0" w:rsidP="00462B6C">
      <w:pPr>
        <w:pStyle w:val="FootnoteText"/>
        <w:spacing w:before="0" w:beforeAutospacing="0" w:after="0" w:afterAutospacing="0" w:line="240" w:lineRule="auto"/>
        <w:rPr>
          <w:rFonts w:ascii="Times New Roman" w:hAnsi="Times New Roman"/>
          <w:lang w:val="en-US"/>
        </w:rPr>
      </w:pPr>
      <w:r>
        <w:rPr>
          <w:rStyle w:val="FootnoteReference"/>
        </w:rPr>
        <w:footnoteRef/>
      </w:r>
      <w:r>
        <w:t xml:space="preserve"> </w:t>
      </w:r>
      <w:r w:rsidRPr="00A719D9">
        <w:rPr>
          <w:rFonts w:ascii="Times New Roman" w:hAnsi="Times New Roman"/>
          <w:color w:val="auto"/>
        </w:rPr>
        <w:t>Số thu</w:t>
      </w:r>
      <w:r w:rsidRPr="00A719D9">
        <w:rPr>
          <w:rFonts w:ascii="Times New Roman" w:hAnsi="Times New Roman"/>
        </w:rPr>
        <w:t xml:space="preserve"> thuế BVMT từ năm 2015 tăng lên đáng kể (năm 2015 tăng 125,8% so với năm 2014) là do từ tháng 5/2015 thực hiện điều chỉnh tăng thuế BVMT đối với xăng dầu tại Nghị quyết số 888a/2015/UBTVQH13</w:t>
      </w:r>
    </w:p>
  </w:footnote>
  <w:footnote w:id="3">
    <w:p w:rsidR="006C428E" w:rsidRPr="006D3E86" w:rsidRDefault="006C428E" w:rsidP="006C428E">
      <w:pPr>
        <w:pStyle w:val="FootnoteText"/>
        <w:spacing w:before="0" w:beforeAutospacing="0" w:after="0" w:afterAutospacing="0" w:line="240" w:lineRule="auto"/>
        <w:rPr>
          <w:rFonts w:asciiTheme="majorHAnsi" w:hAnsiTheme="majorHAnsi" w:cstheme="majorHAnsi"/>
          <w:lang w:val="nl-NL"/>
        </w:rPr>
      </w:pPr>
      <w:r w:rsidRPr="006D3E86">
        <w:rPr>
          <w:rStyle w:val="FootnoteReference"/>
          <w:rFonts w:asciiTheme="majorHAnsi" w:hAnsiTheme="majorHAnsi" w:cstheme="majorHAnsi"/>
        </w:rPr>
        <w:footnoteRef/>
      </w:r>
      <w:r w:rsidRPr="006D3E86">
        <w:rPr>
          <w:rFonts w:asciiTheme="majorHAnsi" w:hAnsiTheme="majorHAnsi" w:cstheme="majorHAnsi"/>
        </w:rPr>
        <w:t xml:space="preserve"> </w:t>
      </w:r>
      <w:r w:rsidRPr="006D3E86">
        <w:rPr>
          <w:rFonts w:asciiTheme="majorHAnsi" w:hAnsiTheme="majorHAnsi" w:cstheme="majorHAnsi"/>
          <w:lang w:val="nl-NL"/>
        </w:rPr>
        <w:t xml:space="preserve">Kinh nghiệm quốc tế cho thấy, các nước đã sử dụng chính sách thuế nội địa để thay thế cho thuế nhập khẩu phải cắt giảm theo các cam kết quốc tế; Quỹ tiền tệ quốc tế (IMF) khuyến nghị các nước sử dụng thuế nội địa để thực hiện các phương án cắt, giảm thuế nhập khẩu theo các cam kết quốc tế. </w:t>
      </w:r>
    </w:p>
  </w:footnote>
  <w:footnote w:id="4">
    <w:p w:rsidR="006C428E" w:rsidRPr="006D3E86" w:rsidRDefault="006C428E" w:rsidP="006C428E">
      <w:pPr>
        <w:pStyle w:val="FootnoteText"/>
        <w:spacing w:before="0" w:beforeAutospacing="0" w:after="0" w:afterAutospacing="0" w:line="240" w:lineRule="auto"/>
        <w:rPr>
          <w:rFonts w:asciiTheme="majorHAnsi" w:hAnsiTheme="majorHAnsi" w:cstheme="majorHAnsi"/>
          <w:lang w:val="nl-NL"/>
        </w:rPr>
      </w:pPr>
      <w:r w:rsidRPr="006D3E86">
        <w:rPr>
          <w:rStyle w:val="FootnoteReference"/>
          <w:rFonts w:asciiTheme="majorHAnsi" w:hAnsiTheme="majorHAnsi" w:cstheme="majorHAnsi"/>
        </w:rPr>
        <w:footnoteRef/>
      </w:r>
      <w:r w:rsidRPr="006D3E86">
        <w:rPr>
          <w:rFonts w:asciiTheme="majorHAnsi" w:hAnsiTheme="majorHAnsi" w:cstheme="majorHAnsi"/>
          <w:lang w:val="nl-NL"/>
        </w:rPr>
        <w:t xml:space="preserve"> Kinh nghiệm quốc tế cho thấy, khi giá dầu thế giới giảm và duy trì ở mức thấp, nhiều nước đã nghiên cứu điều chỉnh chính sách thuế theo hướng tăng và mở rộng đối tượng để đảm bảo nguồn thu cho ngân sách nhà nước.</w:t>
      </w:r>
    </w:p>
  </w:footnote>
  <w:footnote w:id="5">
    <w:p w:rsidR="00F67CC0" w:rsidRPr="006C428E" w:rsidRDefault="00F67CC0" w:rsidP="00350215">
      <w:pPr>
        <w:pStyle w:val="FootnoteText"/>
        <w:spacing w:line="240" w:lineRule="auto"/>
        <w:rPr>
          <w:rFonts w:ascii="Times New Roman" w:hAnsi="Times New Roman"/>
          <w:lang w:val="nl-NL"/>
        </w:rPr>
      </w:pPr>
      <w:r w:rsidRPr="00FF016F">
        <w:rPr>
          <w:rStyle w:val="FootnoteReference"/>
          <w:rFonts w:ascii="Times New Roman" w:hAnsi="Times New Roman"/>
        </w:rPr>
        <w:footnoteRef/>
      </w:r>
      <w:r w:rsidRPr="006C428E">
        <w:rPr>
          <w:rFonts w:ascii="Times New Roman" w:hAnsi="Times New Roman"/>
          <w:lang w:val="nl-NL"/>
        </w:rPr>
        <w:t xml:space="preserve"> Theo Điều 68, Điều 87 Luật BVMT số 55/2014/QH13 và Quyết định số 16/2016/QĐ-TTg ngày 22/5/2015 của Thủ tướng Chính phủ quy định về thu hồi, xử lý sản phẩm thải bỏ đã quy định thời điểm thu hồi xử lý các sản phẩm pin, ắc quy các loại, máy vi tính, săm lốp là từ ngày 01/7/2016.</w:t>
      </w:r>
    </w:p>
  </w:footnote>
  <w:footnote w:id="6">
    <w:p w:rsidR="00E3421F" w:rsidRPr="00E3421F" w:rsidRDefault="00E3421F" w:rsidP="00E3421F">
      <w:pPr>
        <w:pStyle w:val="FootnoteText"/>
        <w:spacing w:before="0" w:beforeAutospacing="0" w:after="0" w:afterAutospacing="0" w:line="240" w:lineRule="auto"/>
        <w:rPr>
          <w:sz w:val="22"/>
          <w:szCs w:val="22"/>
          <w:lang w:val="nl-NL"/>
        </w:rPr>
      </w:pPr>
      <w:r w:rsidRPr="004073FA">
        <w:rPr>
          <w:rStyle w:val="FootnoteReference"/>
          <w:sz w:val="22"/>
          <w:szCs w:val="22"/>
        </w:rPr>
        <w:footnoteRef/>
      </w:r>
      <w:r w:rsidRPr="00E3421F">
        <w:rPr>
          <w:sz w:val="22"/>
          <w:szCs w:val="22"/>
          <w:lang w:val="nl-NL"/>
        </w:rPr>
        <w:t xml:space="preserve"> </w:t>
      </w:r>
      <w:r w:rsidRPr="004073FA">
        <w:rPr>
          <w:sz w:val="22"/>
          <w:szCs w:val="22"/>
          <w:lang w:val="nl-NL"/>
        </w:rPr>
        <w:t xml:space="preserve"> </w:t>
      </w:r>
      <w:r>
        <w:rPr>
          <w:sz w:val="22"/>
          <w:szCs w:val="22"/>
          <w:lang w:val="nl-NL"/>
        </w:rPr>
        <w:t>Quy</w:t>
      </w:r>
      <w:r w:rsidRPr="004073FA">
        <w:rPr>
          <w:sz w:val="22"/>
          <w:szCs w:val="22"/>
          <w:lang w:val="nl-NL"/>
        </w:rPr>
        <w:t xml:space="preserve"> chuẩn QCVN 77:2014/BGTVT ban hành kèm theo Thông tư số 45/2014/TT-BGTVT </w:t>
      </w:r>
    </w:p>
  </w:footnote>
  <w:footnote w:id="7">
    <w:p w:rsidR="00E3421F" w:rsidRPr="00E3421F" w:rsidRDefault="00E3421F" w:rsidP="00E3421F">
      <w:pPr>
        <w:pStyle w:val="FootnoteText"/>
        <w:spacing w:before="0" w:beforeAutospacing="0" w:after="0" w:afterAutospacing="0" w:line="240" w:lineRule="auto"/>
        <w:rPr>
          <w:sz w:val="22"/>
          <w:szCs w:val="22"/>
          <w:lang w:val="nl-NL"/>
        </w:rPr>
      </w:pPr>
      <w:r w:rsidRPr="004073FA">
        <w:rPr>
          <w:rStyle w:val="FootnoteReference"/>
          <w:sz w:val="22"/>
          <w:szCs w:val="22"/>
        </w:rPr>
        <w:footnoteRef/>
      </w:r>
      <w:r w:rsidRPr="00E3421F">
        <w:rPr>
          <w:sz w:val="22"/>
          <w:szCs w:val="22"/>
          <w:lang w:val="nl-NL"/>
        </w:rPr>
        <w:t xml:space="preserve"> </w:t>
      </w:r>
      <w:r>
        <w:rPr>
          <w:sz w:val="22"/>
          <w:szCs w:val="22"/>
          <w:lang w:val="nl-NL"/>
        </w:rPr>
        <w:t>Quy chu</w:t>
      </w:r>
      <w:r w:rsidRPr="004073FA">
        <w:rPr>
          <w:sz w:val="22"/>
          <w:szCs w:val="22"/>
          <w:lang w:val="nl-NL"/>
        </w:rPr>
        <w:t>ẩn</w:t>
      </w:r>
      <w:r>
        <w:rPr>
          <w:sz w:val="22"/>
          <w:szCs w:val="22"/>
          <w:lang w:val="nl-NL"/>
        </w:rPr>
        <w:t xml:space="preserve"> </w:t>
      </w:r>
      <w:r w:rsidRPr="004073FA">
        <w:rPr>
          <w:sz w:val="22"/>
          <w:szCs w:val="22"/>
          <w:lang w:val="nl-NL"/>
        </w:rPr>
        <w:t xml:space="preserve">QCVN 86:2015/BGTVT ban hành kèm theo Thông tư số 33/2015/TT-BGTVT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2"/>
  </w:num>
  <w:num w:numId="6">
    <w:abstractNumId w:val="13"/>
  </w:num>
  <w:num w:numId="7">
    <w:abstractNumId w:val="9"/>
  </w:num>
  <w:num w:numId="8">
    <w:abstractNumId w:val="8"/>
  </w:num>
  <w:num w:numId="9">
    <w:abstractNumId w:val="4"/>
  </w:num>
  <w:num w:numId="10">
    <w:abstractNumId w:val="1"/>
  </w:num>
  <w:num w:numId="11">
    <w:abstractNumId w:val="6"/>
  </w:num>
  <w:num w:numId="12">
    <w:abstractNumId w:val="11"/>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5229"/>
    <w:rsid w:val="000018CF"/>
    <w:rsid w:val="00001C91"/>
    <w:rsid w:val="0000221B"/>
    <w:rsid w:val="00002BD2"/>
    <w:rsid w:val="000038A9"/>
    <w:rsid w:val="00004600"/>
    <w:rsid w:val="00005165"/>
    <w:rsid w:val="0000561F"/>
    <w:rsid w:val="000079A8"/>
    <w:rsid w:val="00010E73"/>
    <w:rsid w:val="00012A26"/>
    <w:rsid w:val="000134EC"/>
    <w:rsid w:val="00014338"/>
    <w:rsid w:val="00015606"/>
    <w:rsid w:val="0001589E"/>
    <w:rsid w:val="00015D5A"/>
    <w:rsid w:val="0001728C"/>
    <w:rsid w:val="0001796E"/>
    <w:rsid w:val="000218A8"/>
    <w:rsid w:val="0002498D"/>
    <w:rsid w:val="00024BC8"/>
    <w:rsid w:val="0002754C"/>
    <w:rsid w:val="00027E48"/>
    <w:rsid w:val="00030772"/>
    <w:rsid w:val="00032C0F"/>
    <w:rsid w:val="0003309A"/>
    <w:rsid w:val="00034B40"/>
    <w:rsid w:val="00035345"/>
    <w:rsid w:val="00036F5D"/>
    <w:rsid w:val="00037FFA"/>
    <w:rsid w:val="000402F0"/>
    <w:rsid w:val="00041DEE"/>
    <w:rsid w:val="00042C73"/>
    <w:rsid w:val="000435E4"/>
    <w:rsid w:val="000442BF"/>
    <w:rsid w:val="00044C16"/>
    <w:rsid w:val="00047F9C"/>
    <w:rsid w:val="00050183"/>
    <w:rsid w:val="00050784"/>
    <w:rsid w:val="0005137D"/>
    <w:rsid w:val="00053890"/>
    <w:rsid w:val="000550D9"/>
    <w:rsid w:val="0005778B"/>
    <w:rsid w:val="000578B1"/>
    <w:rsid w:val="00061A34"/>
    <w:rsid w:val="0006267A"/>
    <w:rsid w:val="0006288A"/>
    <w:rsid w:val="0006327F"/>
    <w:rsid w:val="000651E0"/>
    <w:rsid w:val="00066667"/>
    <w:rsid w:val="00066794"/>
    <w:rsid w:val="00070839"/>
    <w:rsid w:val="00070A7F"/>
    <w:rsid w:val="00070E0E"/>
    <w:rsid w:val="00075073"/>
    <w:rsid w:val="00075094"/>
    <w:rsid w:val="00076DA4"/>
    <w:rsid w:val="000770B2"/>
    <w:rsid w:val="00077D18"/>
    <w:rsid w:val="00081A1E"/>
    <w:rsid w:val="00082F07"/>
    <w:rsid w:val="00083130"/>
    <w:rsid w:val="0008447A"/>
    <w:rsid w:val="0008463E"/>
    <w:rsid w:val="0008587E"/>
    <w:rsid w:val="000858AC"/>
    <w:rsid w:val="00085DAB"/>
    <w:rsid w:val="00086826"/>
    <w:rsid w:val="00086951"/>
    <w:rsid w:val="00086F45"/>
    <w:rsid w:val="000906F2"/>
    <w:rsid w:val="0009118F"/>
    <w:rsid w:val="00091D32"/>
    <w:rsid w:val="00094289"/>
    <w:rsid w:val="0009502C"/>
    <w:rsid w:val="00095500"/>
    <w:rsid w:val="000961D0"/>
    <w:rsid w:val="00097655"/>
    <w:rsid w:val="00097ACE"/>
    <w:rsid w:val="00097CA2"/>
    <w:rsid w:val="000A1201"/>
    <w:rsid w:val="000A1506"/>
    <w:rsid w:val="000A27B6"/>
    <w:rsid w:val="000A27C1"/>
    <w:rsid w:val="000A2F9B"/>
    <w:rsid w:val="000A385A"/>
    <w:rsid w:val="000A3BB9"/>
    <w:rsid w:val="000A410A"/>
    <w:rsid w:val="000A5312"/>
    <w:rsid w:val="000A560C"/>
    <w:rsid w:val="000A6773"/>
    <w:rsid w:val="000A6FF7"/>
    <w:rsid w:val="000A7E76"/>
    <w:rsid w:val="000A7F9C"/>
    <w:rsid w:val="000B550D"/>
    <w:rsid w:val="000C0387"/>
    <w:rsid w:val="000C3220"/>
    <w:rsid w:val="000C33A3"/>
    <w:rsid w:val="000C3D81"/>
    <w:rsid w:val="000C51E7"/>
    <w:rsid w:val="000C617E"/>
    <w:rsid w:val="000D087A"/>
    <w:rsid w:val="000D1630"/>
    <w:rsid w:val="000D1A27"/>
    <w:rsid w:val="000D3C9B"/>
    <w:rsid w:val="000D6C84"/>
    <w:rsid w:val="000E010F"/>
    <w:rsid w:val="000E0685"/>
    <w:rsid w:val="000E34B8"/>
    <w:rsid w:val="000E37D4"/>
    <w:rsid w:val="000E59E9"/>
    <w:rsid w:val="000E6156"/>
    <w:rsid w:val="000E7550"/>
    <w:rsid w:val="000E761F"/>
    <w:rsid w:val="000E7E40"/>
    <w:rsid w:val="000F1536"/>
    <w:rsid w:val="000F308E"/>
    <w:rsid w:val="000F37DF"/>
    <w:rsid w:val="000F3A2F"/>
    <w:rsid w:val="000F3A3F"/>
    <w:rsid w:val="000F4DA6"/>
    <w:rsid w:val="000F7988"/>
    <w:rsid w:val="000F7FC9"/>
    <w:rsid w:val="00100DC7"/>
    <w:rsid w:val="00101F70"/>
    <w:rsid w:val="00103CA6"/>
    <w:rsid w:val="00103CE8"/>
    <w:rsid w:val="001053AC"/>
    <w:rsid w:val="00106A73"/>
    <w:rsid w:val="0011083A"/>
    <w:rsid w:val="00110E0C"/>
    <w:rsid w:val="00110F79"/>
    <w:rsid w:val="00110FFF"/>
    <w:rsid w:val="001113AC"/>
    <w:rsid w:val="001117C9"/>
    <w:rsid w:val="00111A87"/>
    <w:rsid w:val="001130EC"/>
    <w:rsid w:val="00115F53"/>
    <w:rsid w:val="00116763"/>
    <w:rsid w:val="00120ECE"/>
    <w:rsid w:val="001226EE"/>
    <w:rsid w:val="001243BF"/>
    <w:rsid w:val="0012593E"/>
    <w:rsid w:val="00133253"/>
    <w:rsid w:val="00134311"/>
    <w:rsid w:val="001346AE"/>
    <w:rsid w:val="00134CE1"/>
    <w:rsid w:val="001414B9"/>
    <w:rsid w:val="00146B67"/>
    <w:rsid w:val="00146E5B"/>
    <w:rsid w:val="0014773B"/>
    <w:rsid w:val="0015066F"/>
    <w:rsid w:val="00150C18"/>
    <w:rsid w:val="00152401"/>
    <w:rsid w:val="001532A7"/>
    <w:rsid w:val="00153DBF"/>
    <w:rsid w:val="00154F54"/>
    <w:rsid w:val="00157458"/>
    <w:rsid w:val="001577FF"/>
    <w:rsid w:val="001605DF"/>
    <w:rsid w:val="00161D15"/>
    <w:rsid w:val="00162C42"/>
    <w:rsid w:val="001639EF"/>
    <w:rsid w:val="00164D85"/>
    <w:rsid w:val="00165E01"/>
    <w:rsid w:val="001663EA"/>
    <w:rsid w:val="0016771D"/>
    <w:rsid w:val="00171F14"/>
    <w:rsid w:val="0017222C"/>
    <w:rsid w:val="001730EC"/>
    <w:rsid w:val="001733D4"/>
    <w:rsid w:val="00175ACC"/>
    <w:rsid w:val="0017636E"/>
    <w:rsid w:val="001767A2"/>
    <w:rsid w:val="00176AF7"/>
    <w:rsid w:val="00176E15"/>
    <w:rsid w:val="00177A63"/>
    <w:rsid w:val="001806D7"/>
    <w:rsid w:val="001813EE"/>
    <w:rsid w:val="00183029"/>
    <w:rsid w:val="00192AC4"/>
    <w:rsid w:val="00192D2C"/>
    <w:rsid w:val="00196A72"/>
    <w:rsid w:val="00197726"/>
    <w:rsid w:val="00197852"/>
    <w:rsid w:val="001A1397"/>
    <w:rsid w:val="001A13FC"/>
    <w:rsid w:val="001A2B39"/>
    <w:rsid w:val="001A3947"/>
    <w:rsid w:val="001A4765"/>
    <w:rsid w:val="001A4F27"/>
    <w:rsid w:val="001A5417"/>
    <w:rsid w:val="001A555B"/>
    <w:rsid w:val="001A57FF"/>
    <w:rsid w:val="001A74AA"/>
    <w:rsid w:val="001B110F"/>
    <w:rsid w:val="001B44A7"/>
    <w:rsid w:val="001B4D0F"/>
    <w:rsid w:val="001B506A"/>
    <w:rsid w:val="001B50B1"/>
    <w:rsid w:val="001B77F2"/>
    <w:rsid w:val="001C0796"/>
    <w:rsid w:val="001C0ACA"/>
    <w:rsid w:val="001C1752"/>
    <w:rsid w:val="001C29F7"/>
    <w:rsid w:val="001C2F8E"/>
    <w:rsid w:val="001C335B"/>
    <w:rsid w:val="001C5A64"/>
    <w:rsid w:val="001C5BC3"/>
    <w:rsid w:val="001C7B49"/>
    <w:rsid w:val="001D00D0"/>
    <w:rsid w:val="001D18C9"/>
    <w:rsid w:val="001D3173"/>
    <w:rsid w:val="001D3456"/>
    <w:rsid w:val="001D3610"/>
    <w:rsid w:val="001D362F"/>
    <w:rsid w:val="001D38C3"/>
    <w:rsid w:val="001D4D0B"/>
    <w:rsid w:val="001D5DF3"/>
    <w:rsid w:val="001D7DEC"/>
    <w:rsid w:val="001D7F3F"/>
    <w:rsid w:val="001E0F1A"/>
    <w:rsid w:val="001E1921"/>
    <w:rsid w:val="001E342E"/>
    <w:rsid w:val="001E6042"/>
    <w:rsid w:val="001F235F"/>
    <w:rsid w:val="001F3B1F"/>
    <w:rsid w:val="001F4035"/>
    <w:rsid w:val="001F4DFA"/>
    <w:rsid w:val="001F63A5"/>
    <w:rsid w:val="001F648E"/>
    <w:rsid w:val="001F6932"/>
    <w:rsid w:val="002024A3"/>
    <w:rsid w:val="002033E1"/>
    <w:rsid w:val="002038EC"/>
    <w:rsid w:val="00204F09"/>
    <w:rsid w:val="00206501"/>
    <w:rsid w:val="00207823"/>
    <w:rsid w:val="00207859"/>
    <w:rsid w:val="00210471"/>
    <w:rsid w:val="00210BEA"/>
    <w:rsid w:val="00211A40"/>
    <w:rsid w:val="00211F53"/>
    <w:rsid w:val="00212DEB"/>
    <w:rsid w:val="00217EA8"/>
    <w:rsid w:val="00225EB7"/>
    <w:rsid w:val="00226464"/>
    <w:rsid w:val="00230672"/>
    <w:rsid w:val="002319A9"/>
    <w:rsid w:val="002325A2"/>
    <w:rsid w:val="00232B1E"/>
    <w:rsid w:val="00232BC6"/>
    <w:rsid w:val="00232E20"/>
    <w:rsid w:val="00233AC4"/>
    <w:rsid w:val="00234D63"/>
    <w:rsid w:val="00235656"/>
    <w:rsid w:val="0023673D"/>
    <w:rsid w:val="0024098B"/>
    <w:rsid w:val="00242A8B"/>
    <w:rsid w:val="00243A3B"/>
    <w:rsid w:val="00246905"/>
    <w:rsid w:val="0024769E"/>
    <w:rsid w:val="00250BEE"/>
    <w:rsid w:val="00250F09"/>
    <w:rsid w:val="002518D5"/>
    <w:rsid w:val="00251E6D"/>
    <w:rsid w:val="0025487A"/>
    <w:rsid w:val="00257DDD"/>
    <w:rsid w:val="002608EA"/>
    <w:rsid w:val="002617BE"/>
    <w:rsid w:val="00261D50"/>
    <w:rsid w:val="002639F4"/>
    <w:rsid w:val="002661A5"/>
    <w:rsid w:val="00266F82"/>
    <w:rsid w:val="00267610"/>
    <w:rsid w:val="002703C9"/>
    <w:rsid w:val="00273B93"/>
    <w:rsid w:val="002740EA"/>
    <w:rsid w:val="00275BB3"/>
    <w:rsid w:val="00275D08"/>
    <w:rsid w:val="00276B5A"/>
    <w:rsid w:val="00280B42"/>
    <w:rsid w:val="00284E9E"/>
    <w:rsid w:val="00285350"/>
    <w:rsid w:val="00285DB0"/>
    <w:rsid w:val="00286CCD"/>
    <w:rsid w:val="00286D3A"/>
    <w:rsid w:val="002874A3"/>
    <w:rsid w:val="002900B3"/>
    <w:rsid w:val="00291511"/>
    <w:rsid w:val="00291C4B"/>
    <w:rsid w:val="0029372D"/>
    <w:rsid w:val="00293C56"/>
    <w:rsid w:val="00294913"/>
    <w:rsid w:val="00294C1E"/>
    <w:rsid w:val="00297025"/>
    <w:rsid w:val="00297DEE"/>
    <w:rsid w:val="002A1A2B"/>
    <w:rsid w:val="002A6DE7"/>
    <w:rsid w:val="002B11CE"/>
    <w:rsid w:val="002B1D9F"/>
    <w:rsid w:val="002B2ACC"/>
    <w:rsid w:val="002B4139"/>
    <w:rsid w:val="002B59C5"/>
    <w:rsid w:val="002C06DD"/>
    <w:rsid w:val="002C06FB"/>
    <w:rsid w:val="002C0A97"/>
    <w:rsid w:val="002C0C5F"/>
    <w:rsid w:val="002C4B67"/>
    <w:rsid w:val="002C67E4"/>
    <w:rsid w:val="002D0162"/>
    <w:rsid w:val="002D0D3C"/>
    <w:rsid w:val="002D1204"/>
    <w:rsid w:val="002D264B"/>
    <w:rsid w:val="002D28C1"/>
    <w:rsid w:val="002D4E3C"/>
    <w:rsid w:val="002D52B2"/>
    <w:rsid w:val="002D652C"/>
    <w:rsid w:val="002D6FEF"/>
    <w:rsid w:val="002D74BA"/>
    <w:rsid w:val="002E072D"/>
    <w:rsid w:val="002E09F5"/>
    <w:rsid w:val="002E3839"/>
    <w:rsid w:val="002E3A7C"/>
    <w:rsid w:val="002E3BA8"/>
    <w:rsid w:val="002E5814"/>
    <w:rsid w:val="002E694F"/>
    <w:rsid w:val="002F0FCC"/>
    <w:rsid w:val="002F2D40"/>
    <w:rsid w:val="002F2E2D"/>
    <w:rsid w:val="002F3439"/>
    <w:rsid w:val="002F3AF2"/>
    <w:rsid w:val="002F42FD"/>
    <w:rsid w:val="002F454E"/>
    <w:rsid w:val="002F6956"/>
    <w:rsid w:val="002F7259"/>
    <w:rsid w:val="002F730F"/>
    <w:rsid w:val="00300D68"/>
    <w:rsid w:val="003023EA"/>
    <w:rsid w:val="003026A1"/>
    <w:rsid w:val="003036B7"/>
    <w:rsid w:val="00305161"/>
    <w:rsid w:val="00306576"/>
    <w:rsid w:val="00306922"/>
    <w:rsid w:val="00307AE3"/>
    <w:rsid w:val="003124D1"/>
    <w:rsid w:val="003129E8"/>
    <w:rsid w:val="0031306D"/>
    <w:rsid w:val="00314EB1"/>
    <w:rsid w:val="00317338"/>
    <w:rsid w:val="003173DD"/>
    <w:rsid w:val="0031790E"/>
    <w:rsid w:val="00323EBB"/>
    <w:rsid w:val="00325D27"/>
    <w:rsid w:val="0032608F"/>
    <w:rsid w:val="00327AF3"/>
    <w:rsid w:val="00331420"/>
    <w:rsid w:val="0033151D"/>
    <w:rsid w:val="003361ED"/>
    <w:rsid w:val="00336521"/>
    <w:rsid w:val="00337F74"/>
    <w:rsid w:val="00340088"/>
    <w:rsid w:val="0034038C"/>
    <w:rsid w:val="0034224D"/>
    <w:rsid w:val="003500FF"/>
    <w:rsid w:val="00350215"/>
    <w:rsid w:val="00351665"/>
    <w:rsid w:val="00354ABC"/>
    <w:rsid w:val="00354F8A"/>
    <w:rsid w:val="0035724A"/>
    <w:rsid w:val="003613E8"/>
    <w:rsid w:val="003654D9"/>
    <w:rsid w:val="00370FFF"/>
    <w:rsid w:val="003721C0"/>
    <w:rsid w:val="00372F9B"/>
    <w:rsid w:val="0037345A"/>
    <w:rsid w:val="00374563"/>
    <w:rsid w:val="003745D5"/>
    <w:rsid w:val="00374EF8"/>
    <w:rsid w:val="00377404"/>
    <w:rsid w:val="00377927"/>
    <w:rsid w:val="003812BC"/>
    <w:rsid w:val="003839AB"/>
    <w:rsid w:val="003904F5"/>
    <w:rsid w:val="003910C7"/>
    <w:rsid w:val="003913A4"/>
    <w:rsid w:val="00391AB2"/>
    <w:rsid w:val="003971DC"/>
    <w:rsid w:val="003A2113"/>
    <w:rsid w:val="003A215A"/>
    <w:rsid w:val="003A3BBC"/>
    <w:rsid w:val="003A52B3"/>
    <w:rsid w:val="003A7933"/>
    <w:rsid w:val="003A7E93"/>
    <w:rsid w:val="003B0167"/>
    <w:rsid w:val="003B15D6"/>
    <w:rsid w:val="003B193F"/>
    <w:rsid w:val="003B19C5"/>
    <w:rsid w:val="003B2C82"/>
    <w:rsid w:val="003B34ED"/>
    <w:rsid w:val="003B3C58"/>
    <w:rsid w:val="003B7AEF"/>
    <w:rsid w:val="003C003E"/>
    <w:rsid w:val="003C0BAD"/>
    <w:rsid w:val="003C1351"/>
    <w:rsid w:val="003C2DF5"/>
    <w:rsid w:val="003C351E"/>
    <w:rsid w:val="003C791D"/>
    <w:rsid w:val="003C7FC5"/>
    <w:rsid w:val="003D19A0"/>
    <w:rsid w:val="003D73F7"/>
    <w:rsid w:val="003E17C0"/>
    <w:rsid w:val="003E3D28"/>
    <w:rsid w:val="003E558A"/>
    <w:rsid w:val="003F0D65"/>
    <w:rsid w:val="003F2298"/>
    <w:rsid w:val="003F25E5"/>
    <w:rsid w:val="003F34E0"/>
    <w:rsid w:val="003F5641"/>
    <w:rsid w:val="003F6772"/>
    <w:rsid w:val="003F6915"/>
    <w:rsid w:val="004008FE"/>
    <w:rsid w:val="004011CD"/>
    <w:rsid w:val="0040331F"/>
    <w:rsid w:val="00403DB9"/>
    <w:rsid w:val="00404ABA"/>
    <w:rsid w:val="00404B88"/>
    <w:rsid w:val="00405525"/>
    <w:rsid w:val="004075FA"/>
    <w:rsid w:val="00412875"/>
    <w:rsid w:val="00420678"/>
    <w:rsid w:val="0042219E"/>
    <w:rsid w:val="00422DC9"/>
    <w:rsid w:val="00423FB2"/>
    <w:rsid w:val="00424DCF"/>
    <w:rsid w:val="00425C9D"/>
    <w:rsid w:val="00426FF5"/>
    <w:rsid w:val="0043097D"/>
    <w:rsid w:val="0043264D"/>
    <w:rsid w:val="00436193"/>
    <w:rsid w:val="00436545"/>
    <w:rsid w:val="004378BE"/>
    <w:rsid w:val="00442929"/>
    <w:rsid w:val="004435F8"/>
    <w:rsid w:val="00444324"/>
    <w:rsid w:val="004445F1"/>
    <w:rsid w:val="00445ABC"/>
    <w:rsid w:val="00445ABD"/>
    <w:rsid w:val="00447374"/>
    <w:rsid w:val="00447BED"/>
    <w:rsid w:val="00450691"/>
    <w:rsid w:val="00450CE6"/>
    <w:rsid w:val="004517F2"/>
    <w:rsid w:val="00452343"/>
    <w:rsid w:val="00453081"/>
    <w:rsid w:val="00453176"/>
    <w:rsid w:val="00453589"/>
    <w:rsid w:val="00453E23"/>
    <w:rsid w:val="00456CF0"/>
    <w:rsid w:val="00457275"/>
    <w:rsid w:val="0046073E"/>
    <w:rsid w:val="00460962"/>
    <w:rsid w:val="00461750"/>
    <w:rsid w:val="004617A3"/>
    <w:rsid w:val="00462381"/>
    <w:rsid w:val="00462B6C"/>
    <w:rsid w:val="004630EA"/>
    <w:rsid w:val="0046336E"/>
    <w:rsid w:val="00463DD8"/>
    <w:rsid w:val="004656FD"/>
    <w:rsid w:val="004662F5"/>
    <w:rsid w:val="004668A8"/>
    <w:rsid w:val="004700F2"/>
    <w:rsid w:val="004729AA"/>
    <w:rsid w:val="004758AA"/>
    <w:rsid w:val="00476218"/>
    <w:rsid w:val="00477A44"/>
    <w:rsid w:val="00477FFB"/>
    <w:rsid w:val="00480980"/>
    <w:rsid w:val="00481EE3"/>
    <w:rsid w:val="004846E3"/>
    <w:rsid w:val="004853EB"/>
    <w:rsid w:val="00485A88"/>
    <w:rsid w:val="0048724A"/>
    <w:rsid w:val="0049013B"/>
    <w:rsid w:val="004905F2"/>
    <w:rsid w:val="004908BC"/>
    <w:rsid w:val="0049102B"/>
    <w:rsid w:val="0049117B"/>
    <w:rsid w:val="0049156D"/>
    <w:rsid w:val="00491E68"/>
    <w:rsid w:val="00493331"/>
    <w:rsid w:val="00495250"/>
    <w:rsid w:val="00496B19"/>
    <w:rsid w:val="004A1A20"/>
    <w:rsid w:val="004A2468"/>
    <w:rsid w:val="004A5510"/>
    <w:rsid w:val="004A6BFF"/>
    <w:rsid w:val="004A7861"/>
    <w:rsid w:val="004B4B7F"/>
    <w:rsid w:val="004B55FA"/>
    <w:rsid w:val="004B5648"/>
    <w:rsid w:val="004B6D34"/>
    <w:rsid w:val="004B7502"/>
    <w:rsid w:val="004C01D7"/>
    <w:rsid w:val="004C0203"/>
    <w:rsid w:val="004C1D9A"/>
    <w:rsid w:val="004C2726"/>
    <w:rsid w:val="004C40BC"/>
    <w:rsid w:val="004C50BF"/>
    <w:rsid w:val="004C6580"/>
    <w:rsid w:val="004C6937"/>
    <w:rsid w:val="004C71AA"/>
    <w:rsid w:val="004C7BB4"/>
    <w:rsid w:val="004C7D3C"/>
    <w:rsid w:val="004D0497"/>
    <w:rsid w:val="004D07F0"/>
    <w:rsid w:val="004D1513"/>
    <w:rsid w:val="004D2025"/>
    <w:rsid w:val="004D3A85"/>
    <w:rsid w:val="004D3B96"/>
    <w:rsid w:val="004D45CE"/>
    <w:rsid w:val="004D4C5A"/>
    <w:rsid w:val="004D5ADE"/>
    <w:rsid w:val="004D5D03"/>
    <w:rsid w:val="004E00BD"/>
    <w:rsid w:val="004E0894"/>
    <w:rsid w:val="004E0B86"/>
    <w:rsid w:val="004E0BF2"/>
    <w:rsid w:val="004E13E9"/>
    <w:rsid w:val="004E2EDE"/>
    <w:rsid w:val="004E6227"/>
    <w:rsid w:val="004E6681"/>
    <w:rsid w:val="004E7233"/>
    <w:rsid w:val="004F12D1"/>
    <w:rsid w:val="004F12EC"/>
    <w:rsid w:val="004F2C11"/>
    <w:rsid w:val="004F2D6C"/>
    <w:rsid w:val="004F6C89"/>
    <w:rsid w:val="005026BD"/>
    <w:rsid w:val="0050438E"/>
    <w:rsid w:val="005053A4"/>
    <w:rsid w:val="00506092"/>
    <w:rsid w:val="00507D8A"/>
    <w:rsid w:val="00507FD6"/>
    <w:rsid w:val="005102E7"/>
    <w:rsid w:val="0051255D"/>
    <w:rsid w:val="00512E33"/>
    <w:rsid w:val="005136CE"/>
    <w:rsid w:val="0051418C"/>
    <w:rsid w:val="00515953"/>
    <w:rsid w:val="00515F3C"/>
    <w:rsid w:val="00516B6B"/>
    <w:rsid w:val="00516D60"/>
    <w:rsid w:val="005215B3"/>
    <w:rsid w:val="00521D36"/>
    <w:rsid w:val="0052319D"/>
    <w:rsid w:val="00523229"/>
    <w:rsid w:val="0052359F"/>
    <w:rsid w:val="00523DC9"/>
    <w:rsid w:val="00524176"/>
    <w:rsid w:val="005257C1"/>
    <w:rsid w:val="00527011"/>
    <w:rsid w:val="00530FD3"/>
    <w:rsid w:val="005317E3"/>
    <w:rsid w:val="00531CEC"/>
    <w:rsid w:val="00532588"/>
    <w:rsid w:val="00532765"/>
    <w:rsid w:val="005328B9"/>
    <w:rsid w:val="00534202"/>
    <w:rsid w:val="00535E75"/>
    <w:rsid w:val="00536161"/>
    <w:rsid w:val="0053618E"/>
    <w:rsid w:val="005368EC"/>
    <w:rsid w:val="00537A5E"/>
    <w:rsid w:val="00540B40"/>
    <w:rsid w:val="005416DE"/>
    <w:rsid w:val="00542CD1"/>
    <w:rsid w:val="005451A1"/>
    <w:rsid w:val="00545E9D"/>
    <w:rsid w:val="00546A5A"/>
    <w:rsid w:val="00547BD4"/>
    <w:rsid w:val="005502C1"/>
    <w:rsid w:val="00550AEE"/>
    <w:rsid w:val="00550E21"/>
    <w:rsid w:val="00551EE2"/>
    <w:rsid w:val="005523E4"/>
    <w:rsid w:val="00552DB5"/>
    <w:rsid w:val="00555610"/>
    <w:rsid w:val="00556694"/>
    <w:rsid w:val="00561642"/>
    <w:rsid w:val="00562D26"/>
    <w:rsid w:val="005630BD"/>
    <w:rsid w:val="0056314B"/>
    <w:rsid w:val="005649E8"/>
    <w:rsid w:val="0056556D"/>
    <w:rsid w:val="00565825"/>
    <w:rsid w:val="00567098"/>
    <w:rsid w:val="005673A5"/>
    <w:rsid w:val="00567F7F"/>
    <w:rsid w:val="00570039"/>
    <w:rsid w:val="00570D98"/>
    <w:rsid w:val="005725CE"/>
    <w:rsid w:val="005767E6"/>
    <w:rsid w:val="00577A57"/>
    <w:rsid w:val="00581046"/>
    <w:rsid w:val="005811E4"/>
    <w:rsid w:val="00581244"/>
    <w:rsid w:val="00582A50"/>
    <w:rsid w:val="005830F0"/>
    <w:rsid w:val="00583133"/>
    <w:rsid w:val="005833CD"/>
    <w:rsid w:val="0058361A"/>
    <w:rsid w:val="0058364B"/>
    <w:rsid w:val="005836CF"/>
    <w:rsid w:val="005844B0"/>
    <w:rsid w:val="00584679"/>
    <w:rsid w:val="00584AD4"/>
    <w:rsid w:val="00584B1E"/>
    <w:rsid w:val="00585A2C"/>
    <w:rsid w:val="00591141"/>
    <w:rsid w:val="005933FB"/>
    <w:rsid w:val="00593ECE"/>
    <w:rsid w:val="00597BBA"/>
    <w:rsid w:val="005A0E8D"/>
    <w:rsid w:val="005A1B5C"/>
    <w:rsid w:val="005A2684"/>
    <w:rsid w:val="005A4C44"/>
    <w:rsid w:val="005A4D9D"/>
    <w:rsid w:val="005A52EC"/>
    <w:rsid w:val="005A58C8"/>
    <w:rsid w:val="005A65A2"/>
    <w:rsid w:val="005B0529"/>
    <w:rsid w:val="005B0933"/>
    <w:rsid w:val="005B1157"/>
    <w:rsid w:val="005B1B30"/>
    <w:rsid w:val="005B231D"/>
    <w:rsid w:val="005B319B"/>
    <w:rsid w:val="005B4607"/>
    <w:rsid w:val="005B65C5"/>
    <w:rsid w:val="005C06B1"/>
    <w:rsid w:val="005C1D7E"/>
    <w:rsid w:val="005C2600"/>
    <w:rsid w:val="005C26A8"/>
    <w:rsid w:val="005C3B92"/>
    <w:rsid w:val="005C3CC1"/>
    <w:rsid w:val="005C3F45"/>
    <w:rsid w:val="005C4AC4"/>
    <w:rsid w:val="005C4D2E"/>
    <w:rsid w:val="005C543D"/>
    <w:rsid w:val="005C569B"/>
    <w:rsid w:val="005C5C7B"/>
    <w:rsid w:val="005C74EA"/>
    <w:rsid w:val="005C78DD"/>
    <w:rsid w:val="005C7ACB"/>
    <w:rsid w:val="005D3675"/>
    <w:rsid w:val="005D4036"/>
    <w:rsid w:val="005D50C3"/>
    <w:rsid w:val="005D7272"/>
    <w:rsid w:val="005D787F"/>
    <w:rsid w:val="005D79BF"/>
    <w:rsid w:val="005D7D64"/>
    <w:rsid w:val="005E44E6"/>
    <w:rsid w:val="005E4B28"/>
    <w:rsid w:val="005E7F26"/>
    <w:rsid w:val="005F080B"/>
    <w:rsid w:val="005F1098"/>
    <w:rsid w:val="005F233E"/>
    <w:rsid w:val="005F266C"/>
    <w:rsid w:val="005F29BD"/>
    <w:rsid w:val="005F36FC"/>
    <w:rsid w:val="005F6666"/>
    <w:rsid w:val="005F6C23"/>
    <w:rsid w:val="006000B5"/>
    <w:rsid w:val="00600FB5"/>
    <w:rsid w:val="006017FD"/>
    <w:rsid w:val="00603C96"/>
    <w:rsid w:val="0060560F"/>
    <w:rsid w:val="00605BD7"/>
    <w:rsid w:val="00606177"/>
    <w:rsid w:val="00607682"/>
    <w:rsid w:val="006100CF"/>
    <w:rsid w:val="006140DF"/>
    <w:rsid w:val="006146A3"/>
    <w:rsid w:val="00614DF7"/>
    <w:rsid w:val="006151BF"/>
    <w:rsid w:val="00615C9D"/>
    <w:rsid w:val="00615FED"/>
    <w:rsid w:val="00617130"/>
    <w:rsid w:val="0061752B"/>
    <w:rsid w:val="00620116"/>
    <w:rsid w:val="0062374D"/>
    <w:rsid w:val="00625830"/>
    <w:rsid w:val="006265A1"/>
    <w:rsid w:val="00626F7C"/>
    <w:rsid w:val="006278C9"/>
    <w:rsid w:val="00627A48"/>
    <w:rsid w:val="006309DF"/>
    <w:rsid w:val="00630C4B"/>
    <w:rsid w:val="00631C62"/>
    <w:rsid w:val="006327F5"/>
    <w:rsid w:val="00632B93"/>
    <w:rsid w:val="00632DB4"/>
    <w:rsid w:val="00633744"/>
    <w:rsid w:val="006339C5"/>
    <w:rsid w:val="00634DA2"/>
    <w:rsid w:val="00635263"/>
    <w:rsid w:val="00637850"/>
    <w:rsid w:val="00640047"/>
    <w:rsid w:val="00641FDC"/>
    <w:rsid w:val="006420B7"/>
    <w:rsid w:val="006432FF"/>
    <w:rsid w:val="00645FA7"/>
    <w:rsid w:val="00650503"/>
    <w:rsid w:val="00651103"/>
    <w:rsid w:val="00651B2B"/>
    <w:rsid w:val="006529EA"/>
    <w:rsid w:val="00653312"/>
    <w:rsid w:val="00653CFB"/>
    <w:rsid w:val="00654542"/>
    <w:rsid w:val="006561D4"/>
    <w:rsid w:val="00656D87"/>
    <w:rsid w:val="00657970"/>
    <w:rsid w:val="006609CB"/>
    <w:rsid w:val="00660ABF"/>
    <w:rsid w:val="00664523"/>
    <w:rsid w:val="006709F5"/>
    <w:rsid w:val="00672571"/>
    <w:rsid w:val="00672BB9"/>
    <w:rsid w:val="00673442"/>
    <w:rsid w:val="0067683B"/>
    <w:rsid w:val="00677CFD"/>
    <w:rsid w:val="006801F8"/>
    <w:rsid w:val="00680245"/>
    <w:rsid w:val="0068295B"/>
    <w:rsid w:val="006846B6"/>
    <w:rsid w:val="00685303"/>
    <w:rsid w:val="006855B3"/>
    <w:rsid w:val="006860EB"/>
    <w:rsid w:val="00686E90"/>
    <w:rsid w:val="00687B50"/>
    <w:rsid w:val="00687E8F"/>
    <w:rsid w:val="00694A9B"/>
    <w:rsid w:val="00695375"/>
    <w:rsid w:val="00695D31"/>
    <w:rsid w:val="00697901"/>
    <w:rsid w:val="006A1091"/>
    <w:rsid w:val="006A1E00"/>
    <w:rsid w:val="006A2C47"/>
    <w:rsid w:val="006A3147"/>
    <w:rsid w:val="006A3ABD"/>
    <w:rsid w:val="006A4902"/>
    <w:rsid w:val="006A7297"/>
    <w:rsid w:val="006B0CB3"/>
    <w:rsid w:val="006B1825"/>
    <w:rsid w:val="006B30A8"/>
    <w:rsid w:val="006B3C91"/>
    <w:rsid w:val="006B482D"/>
    <w:rsid w:val="006B6CC9"/>
    <w:rsid w:val="006B7306"/>
    <w:rsid w:val="006B7586"/>
    <w:rsid w:val="006B7EFE"/>
    <w:rsid w:val="006C160D"/>
    <w:rsid w:val="006C3AEC"/>
    <w:rsid w:val="006C3D59"/>
    <w:rsid w:val="006C428E"/>
    <w:rsid w:val="006C4EAB"/>
    <w:rsid w:val="006C5B5E"/>
    <w:rsid w:val="006C6768"/>
    <w:rsid w:val="006D052C"/>
    <w:rsid w:val="006D0D46"/>
    <w:rsid w:val="006D1214"/>
    <w:rsid w:val="006D33C8"/>
    <w:rsid w:val="006D3E86"/>
    <w:rsid w:val="006D521E"/>
    <w:rsid w:val="006D666D"/>
    <w:rsid w:val="006D7662"/>
    <w:rsid w:val="006D7DD4"/>
    <w:rsid w:val="006E191C"/>
    <w:rsid w:val="006E31DE"/>
    <w:rsid w:val="006E69DC"/>
    <w:rsid w:val="006E79DC"/>
    <w:rsid w:val="006F0238"/>
    <w:rsid w:val="006F2738"/>
    <w:rsid w:val="006F380F"/>
    <w:rsid w:val="006F48E7"/>
    <w:rsid w:val="006F5C1C"/>
    <w:rsid w:val="006F5E20"/>
    <w:rsid w:val="006F6D11"/>
    <w:rsid w:val="00700C39"/>
    <w:rsid w:val="00701055"/>
    <w:rsid w:val="00702094"/>
    <w:rsid w:val="007026CC"/>
    <w:rsid w:val="00702DD3"/>
    <w:rsid w:val="00704DB5"/>
    <w:rsid w:val="0070511B"/>
    <w:rsid w:val="00705356"/>
    <w:rsid w:val="00711566"/>
    <w:rsid w:val="00713861"/>
    <w:rsid w:val="00715151"/>
    <w:rsid w:val="007159E3"/>
    <w:rsid w:val="00716B41"/>
    <w:rsid w:val="00716BF5"/>
    <w:rsid w:val="00717E20"/>
    <w:rsid w:val="00720319"/>
    <w:rsid w:val="00721AEF"/>
    <w:rsid w:val="007228CF"/>
    <w:rsid w:val="007228EE"/>
    <w:rsid w:val="00723499"/>
    <w:rsid w:val="00723583"/>
    <w:rsid w:val="00723757"/>
    <w:rsid w:val="0072435E"/>
    <w:rsid w:val="007247CB"/>
    <w:rsid w:val="00724BAB"/>
    <w:rsid w:val="00724C35"/>
    <w:rsid w:val="00726E42"/>
    <w:rsid w:val="00730766"/>
    <w:rsid w:val="00732901"/>
    <w:rsid w:val="00733361"/>
    <w:rsid w:val="00736760"/>
    <w:rsid w:val="007369B6"/>
    <w:rsid w:val="00737826"/>
    <w:rsid w:val="007420E1"/>
    <w:rsid w:val="00742C5C"/>
    <w:rsid w:val="00743346"/>
    <w:rsid w:val="00743823"/>
    <w:rsid w:val="007446B5"/>
    <w:rsid w:val="007453ED"/>
    <w:rsid w:val="007457BE"/>
    <w:rsid w:val="0074594D"/>
    <w:rsid w:val="007465A8"/>
    <w:rsid w:val="00746CCA"/>
    <w:rsid w:val="007509B7"/>
    <w:rsid w:val="0075101B"/>
    <w:rsid w:val="00753FFE"/>
    <w:rsid w:val="00756BBD"/>
    <w:rsid w:val="007576A6"/>
    <w:rsid w:val="007609B0"/>
    <w:rsid w:val="007638B7"/>
    <w:rsid w:val="0076397A"/>
    <w:rsid w:val="00764FE1"/>
    <w:rsid w:val="007657A8"/>
    <w:rsid w:val="007675B4"/>
    <w:rsid w:val="007675FA"/>
    <w:rsid w:val="00767BA0"/>
    <w:rsid w:val="00767BB0"/>
    <w:rsid w:val="007730BF"/>
    <w:rsid w:val="0077705F"/>
    <w:rsid w:val="007777AE"/>
    <w:rsid w:val="00780220"/>
    <w:rsid w:val="007813CC"/>
    <w:rsid w:val="007813D5"/>
    <w:rsid w:val="0078222C"/>
    <w:rsid w:val="00783622"/>
    <w:rsid w:val="007870B3"/>
    <w:rsid w:val="007914B9"/>
    <w:rsid w:val="00791614"/>
    <w:rsid w:val="00791876"/>
    <w:rsid w:val="0079259B"/>
    <w:rsid w:val="007948CD"/>
    <w:rsid w:val="007A109C"/>
    <w:rsid w:val="007A26A9"/>
    <w:rsid w:val="007A2731"/>
    <w:rsid w:val="007A2F83"/>
    <w:rsid w:val="007A410D"/>
    <w:rsid w:val="007A414C"/>
    <w:rsid w:val="007A41C8"/>
    <w:rsid w:val="007A7400"/>
    <w:rsid w:val="007B0C1E"/>
    <w:rsid w:val="007B161A"/>
    <w:rsid w:val="007B2E6E"/>
    <w:rsid w:val="007B4627"/>
    <w:rsid w:val="007B6601"/>
    <w:rsid w:val="007C0105"/>
    <w:rsid w:val="007C02F8"/>
    <w:rsid w:val="007C0A75"/>
    <w:rsid w:val="007C1C98"/>
    <w:rsid w:val="007C269D"/>
    <w:rsid w:val="007C3914"/>
    <w:rsid w:val="007C40C1"/>
    <w:rsid w:val="007C56F7"/>
    <w:rsid w:val="007C6896"/>
    <w:rsid w:val="007D2867"/>
    <w:rsid w:val="007D4417"/>
    <w:rsid w:val="007D5386"/>
    <w:rsid w:val="007D6661"/>
    <w:rsid w:val="007D76C9"/>
    <w:rsid w:val="007D7D56"/>
    <w:rsid w:val="007E37CF"/>
    <w:rsid w:val="007E3912"/>
    <w:rsid w:val="007E40F1"/>
    <w:rsid w:val="007E436F"/>
    <w:rsid w:val="007E4980"/>
    <w:rsid w:val="007E7A06"/>
    <w:rsid w:val="007F0216"/>
    <w:rsid w:val="007F0FAE"/>
    <w:rsid w:val="007F1318"/>
    <w:rsid w:val="007F1CC0"/>
    <w:rsid w:val="007F20FF"/>
    <w:rsid w:val="007F2E4E"/>
    <w:rsid w:val="007F34AA"/>
    <w:rsid w:val="007F3F1A"/>
    <w:rsid w:val="007F41B3"/>
    <w:rsid w:val="007F54E9"/>
    <w:rsid w:val="007F5D6A"/>
    <w:rsid w:val="007F6118"/>
    <w:rsid w:val="007F6FEE"/>
    <w:rsid w:val="007F7883"/>
    <w:rsid w:val="007F791E"/>
    <w:rsid w:val="008008C4"/>
    <w:rsid w:val="00800FA3"/>
    <w:rsid w:val="008017BC"/>
    <w:rsid w:val="008047F8"/>
    <w:rsid w:val="00806E3E"/>
    <w:rsid w:val="008079BD"/>
    <w:rsid w:val="0081050E"/>
    <w:rsid w:val="008126CC"/>
    <w:rsid w:val="0081461B"/>
    <w:rsid w:val="00816140"/>
    <w:rsid w:val="00816865"/>
    <w:rsid w:val="00816FBF"/>
    <w:rsid w:val="0081758E"/>
    <w:rsid w:val="00817EDF"/>
    <w:rsid w:val="0082017B"/>
    <w:rsid w:val="0082036C"/>
    <w:rsid w:val="00822222"/>
    <w:rsid w:val="00823CD2"/>
    <w:rsid w:val="00823D0C"/>
    <w:rsid w:val="008243D6"/>
    <w:rsid w:val="00825394"/>
    <w:rsid w:val="0082587E"/>
    <w:rsid w:val="00830AD3"/>
    <w:rsid w:val="00832EF4"/>
    <w:rsid w:val="00834D61"/>
    <w:rsid w:val="0083740A"/>
    <w:rsid w:val="008376E2"/>
    <w:rsid w:val="008413AA"/>
    <w:rsid w:val="0084152D"/>
    <w:rsid w:val="00841A33"/>
    <w:rsid w:val="00842668"/>
    <w:rsid w:val="00843AD7"/>
    <w:rsid w:val="0084421D"/>
    <w:rsid w:val="00844E5C"/>
    <w:rsid w:val="00846380"/>
    <w:rsid w:val="008476CF"/>
    <w:rsid w:val="0085027E"/>
    <w:rsid w:val="008505EA"/>
    <w:rsid w:val="00852831"/>
    <w:rsid w:val="00855A9A"/>
    <w:rsid w:val="00856864"/>
    <w:rsid w:val="00857780"/>
    <w:rsid w:val="008619FF"/>
    <w:rsid w:val="008621C4"/>
    <w:rsid w:val="00862AEF"/>
    <w:rsid w:val="00863B6A"/>
    <w:rsid w:val="00864C29"/>
    <w:rsid w:val="00865E57"/>
    <w:rsid w:val="00866243"/>
    <w:rsid w:val="0086719B"/>
    <w:rsid w:val="008675C1"/>
    <w:rsid w:val="00870839"/>
    <w:rsid w:val="00871A4A"/>
    <w:rsid w:val="00873D44"/>
    <w:rsid w:val="008755D6"/>
    <w:rsid w:val="00876904"/>
    <w:rsid w:val="008777C3"/>
    <w:rsid w:val="008805FA"/>
    <w:rsid w:val="00881C4C"/>
    <w:rsid w:val="00886DCB"/>
    <w:rsid w:val="0089084B"/>
    <w:rsid w:val="00890ABF"/>
    <w:rsid w:val="00890E73"/>
    <w:rsid w:val="00891D2C"/>
    <w:rsid w:val="00892F0F"/>
    <w:rsid w:val="00893C87"/>
    <w:rsid w:val="008942D3"/>
    <w:rsid w:val="00895861"/>
    <w:rsid w:val="00896008"/>
    <w:rsid w:val="00896012"/>
    <w:rsid w:val="008968CE"/>
    <w:rsid w:val="00896AAE"/>
    <w:rsid w:val="00896DEA"/>
    <w:rsid w:val="00897341"/>
    <w:rsid w:val="008976E1"/>
    <w:rsid w:val="00897A97"/>
    <w:rsid w:val="00897D0D"/>
    <w:rsid w:val="008A4661"/>
    <w:rsid w:val="008A574B"/>
    <w:rsid w:val="008A5D5B"/>
    <w:rsid w:val="008A6402"/>
    <w:rsid w:val="008A6525"/>
    <w:rsid w:val="008B0641"/>
    <w:rsid w:val="008B0B34"/>
    <w:rsid w:val="008B0F30"/>
    <w:rsid w:val="008B22BB"/>
    <w:rsid w:val="008B2D50"/>
    <w:rsid w:val="008B415A"/>
    <w:rsid w:val="008B6D94"/>
    <w:rsid w:val="008B7DAE"/>
    <w:rsid w:val="008C1C36"/>
    <w:rsid w:val="008C1DFE"/>
    <w:rsid w:val="008C2C69"/>
    <w:rsid w:val="008C30F6"/>
    <w:rsid w:val="008C30F9"/>
    <w:rsid w:val="008C55F8"/>
    <w:rsid w:val="008C6A19"/>
    <w:rsid w:val="008D050A"/>
    <w:rsid w:val="008D10B8"/>
    <w:rsid w:val="008D1C55"/>
    <w:rsid w:val="008D2C23"/>
    <w:rsid w:val="008D2DFA"/>
    <w:rsid w:val="008D416F"/>
    <w:rsid w:val="008D5B8E"/>
    <w:rsid w:val="008D7581"/>
    <w:rsid w:val="008E074A"/>
    <w:rsid w:val="008E082E"/>
    <w:rsid w:val="008E2ACD"/>
    <w:rsid w:val="008E36FB"/>
    <w:rsid w:val="008E3BD4"/>
    <w:rsid w:val="008E4017"/>
    <w:rsid w:val="008E4275"/>
    <w:rsid w:val="008E75F1"/>
    <w:rsid w:val="008F007E"/>
    <w:rsid w:val="008F243A"/>
    <w:rsid w:val="008F2DBA"/>
    <w:rsid w:val="008F3E20"/>
    <w:rsid w:val="008F4ECA"/>
    <w:rsid w:val="008F5D78"/>
    <w:rsid w:val="008F6491"/>
    <w:rsid w:val="008F6B79"/>
    <w:rsid w:val="00901A14"/>
    <w:rsid w:val="00902D86"/>
    <w:rsid w:val="0090308B"/>
    <w:rsid w:val="0090339D"/>
    <w:rsid w:val="009049A0"/>
    <w:rsid w:val="00905C9F"/>
    <w:rsid w:val="00906152"/>
    <w:rsid w:val="0090659E"/>
    <w:rsid w:val="009100FD"/>
    <w:rsid w:val="0091110C"/>
    <w:rsid w:val="00911B1F"/>
    <w:rsid w:val="0091291D"/>
    <w:rsid w:val="009144C5"/>
    <w:rsid w:val="00914B82"/>
    <w:rsid w:val="00914F15"/>
    <w:rsid w:val="0091643C"/>
    <w:rsid w:val="00916FAC"/>
    <w:rsid w:val="00922050"/>
    <w:rsid w:val="00923E28"/>
    <w:rsid w:val="009276DB"/>
    <w:rsid w:val="0092796C"/>
    <w:rsid w:val="00927EC8"/>
    <w:rsid w:val="009306B2"/>
    <w:rsid w:val="00932039"/>
    <w:rsid w:val="009321B1"/>
    <w:rsid w:val="00935023"/>
    <w:rsid w:val="009364B8"/>
    <w:rsid w:val="00937E36"/>
    <w:rsid w:val="00940AE5"/>
    <w:rsid w:val="00942521"/>
    <w:rsid w:val="00942A19"/>
    <w:rsid w:val="009435D1"/>
    <w:rsid w:val="00945653"/>
    <w:rsid w:val="009512BF"/>
    <w:rsid w:val="00951F43"/>
    <w:rsid w:val="0095225F"/>
    <w:rsid w:val="009530FD"/>
    <w:rsid w:val="009541AE"/>
    <w:rsid w:val="00954537"/>
    <w:rsid w:val="00954661"/>
    <w:rsid w:val="00955121"/>
    <w:rsid w:val="00955824"/>
    <w:rsid w:val="00955A40"/>
    <w:rsid w:val="0096150A"/>
    <w:rsid w:val="00961920"/>
    <w:rsid w:val="00961FA8"/>
    <w:rsid w:val="009621D4"/>
    <w:rsid w:val="00970157"/>
    <w:rsid w:val="00970CDC"/>
    <w:rsid w:val="009720EA"/>
    <w:rsid w:val="009733A8"/>
    <w:rsid w:val="009740B9"/>
    <w:rsid w:val="00974243"/>
    <w:rsid w:val="00975CFC"/>
    <w:rsid w:val="00980082"/>
    <w:rsid w:val="0098162E"/>
    <w:rsid w:val="009821C6"/>
    <w:rsid w:val="00983A80"/>
    <w:rsid w:val="00984B91"/>
    <w:rsid w:val="00985FF3"/>
    <w:rsid w:val="00991185"/>
    <w:rsid w:val="00992751"/>
    <w:rsid w:val="00992882"/>
    <w:rsid w:val="0099356D"/>
    <w:rsid w:val="00993A84"/>
    <w:rsid w:val="009956FF"/>
    <w:rsid w:val="0099587E"/>
    <w:rsid w:val="0099748A"/>
    <w:rsid w:val="009A09C6"/>
    <w:rsid w:val="009A2893"/>
    <w:rsid w:val="009A28A2"/>
    <w:rsid w:val="009A44E1"/>
    <w:rsid w:val="009A4531"/>
    <w:rsid w:val="009A4D6A"/>
    <w:rsid w:val="009B0B5E"/>
    <w:rsid w:val="009B1224"/>
    <w:rsid w:val="009B181E"/>
    <w:rsid w:val="009C0FFE"/>
    <w:rsid w:val="009C244E"/>
    <w:rsid w:val="009C3729"/>
    <w:rsid w:val="009C3815"/>
    <w:rsid w:val="009C45BE"/>
    <w:rsid w:val="009C4C33"/>
    <w:rsid w:val="009C4D10"/>
    <w:rsid w:val="009C55C7"/>
    <w:rsid w:val="009C62CE"/>
    <w:rsid w:val="009C6EDE"/>
    <w:rsid w:val="009D0F00"/>
    <w:rsid w:val="009D46ED"/>
    <w:rsid w:val="009D670C"/>
    <w:rsid w:val="009E010B"/>
    <w:rsid w:val="009E1C7A"/>
    <w:rsid w:val="009E1C9D"/>
    <w:rsid w:val="009E20C6"/>
    <w:rsid w:val="009E2BF9"/>
    <w:rsid w:val="009E3327"/>
    <w:rsid w:val="009E36EE"/>
    <w:rsid w:val="009E44F5"/>
    <w:rsid w:val="009E48C6"/>
    <w:rsid w:val="009E5575"/>
    <w:rsid w:val="009E57D0"/>
    <w:rsid w:val="009E651F"/>
    <w:rsid w:val="009F250D"/>
    <w:rsid w:val="009F277F"/>
    <w:rsid w:val="009F6BEC"/>
    <w:rsid w:val="009F7164"/>
    <w:rsid w:val="009F78C5"/>
    <w:rsid w:val="009F7BCB"/>
    <w:rsid w:val="00A00527"/>
    <w:rsid w:val="00A01E82"/>
    <w:rsid w:val="00A03773"/>
    <w:rsid w:val="00A04D30"/>
    <w:rsid w:val="00A04F1C"/>
    <w:rsid w:val="00A061E5"/>
    <w:rsid w:val="00A10859"/>
    <w:rsid w:val="00A1120D"/>
    <w:rsid w:val="00A1152A"/>
    <w:rsid w:val="00A12586"/>
    <w:rsid w:val="00A13BD5"/>
    <w:rsid w:val="00A1425C"/>
    <w:rsid w:val="00A17491"/>
    <w:rsid w:val="00A17F55"/>
    <w:rsid w:val="00A20D04"/>
    <w:rsid w:val="00A215F4"/>
    <w:rsid w:val="00A22FAD"/>
    <w:rsid w:val="00A2465E"/>
    <w:rsid w:val="00A2671D"/>
    <w:rsid w:val="00A26D6E"/>
    <w:rsid w:val="00A31358"/>
    <w:rsid w:val="00A34163"/>
    <w:rsid w:val="00A36047"/>
    <w:rsid w:val="00A379D8"/>
    <w:rsid w:val="00A439F5"/>
    <w:rsid w:val="00A43AA1"/>
    <w:rsid w:val="00A4565E"/>
    <w:rsid w:val="00A50BE2"/>
    <w:rsid w:val="00A52DFB"/>
    <w:rsid w:val="00A56A9D"/>
    <w:rsid w:val="00A56C88"/>
    <w:rsid w:val="00A60119"/>
    <w:rsid w:val="00A60E88"/>
    <w:rsid w:val="00A63E40"/>
    <w:rsid w:val="00A64ED1"/>
    <w:rsid w:val="00A664B1"/>
    <w:rsid w:val="00A66F70"/>
    <w:rsid w:val="00A67715"/>
    <w:rsid w:val="00A67CC9"/>
    <w:rsid w:val="00A700B1"/>
    <w:rsid w:val="00A7013F"/>
    <w:rsid w:val="00A7069B"/>
    <w:rsid w:val="00A7095C"/>
    <w:rsid w:val="00A7129F"/>
    <w:rsid w:val="00A71777"/>
    <w:rsid w:val="00A719D9"/>
    <w:rsid w:val="00A73C51"/>
    <w:rsid w:val="00A741DE"/>
    <w:rsid w:val="00A754AC"/>
    <w:rsid w:val="00A77D86"/>
    <w:rsid w:val="00A81872"/>
    <w:rsid w:val="00A81C83"/>
    <w:rsid w:val="00A82286"/>
    <w:rsid w:val="00A82A72"/>
    <w:rsid w:val="00A82B56"/>
    <w:rsid w:val="00A82D74"/>
    <w:rsid w:val="00A832DA"/>
    <w:rsid w:val="00A84579"/>
    <w:rsid w:val="00A861A3"/>
    <w:rsid w:val="00A8705E"/>
    <w:rsid w:val="00A8741D"/>
    <w:rsid w:val="00A91427"/>
    <w:rsid w:val="00A91FB0"/>
    <w:rsid w:val="00A92060"/>
    <w:rsid w:val="00A9261A"/>
    <w:rsid w:val="00A94039"/>
    <w:rsid w:val="00A96149"/>
    <w:rsid w:val="00A96532"/>
    <w:rsid w:val="00A97362"/>
    <w:rsid w:val="00A97BC6"/>
    <w:rsid w:val="00AA1DC2"/>
    <w:rsid w:val="00AA1FA3"/>
    <w:rsid w:val="00AA2132"/>
    <w:rsid w:val="00AA445E"/>
    <w:rsid w:val="00AA4F76"/>
    <w:rsid w:val="00AA5DF9"/>
    <w:rsid w:val="00AA5EBE"/>
    <w:rsid w:val="00AA6552"/>
    <w:rsid w:val="00AA66F2"/>
    <w:rsid w:val="00AB12C1"/>
    <w:rsid w:val="00AB1B62"/>
    <w:rsid w:val="00AB22A4"/>
    <w:rsid w:val="00AB2A01"/>
    <w:rsid w:val="00AB4FA7"/>
    <w:rsid w:val="00AB5C65"/>
    <w:rsid w:val="00AC09E4"/>
    <w:rsid w:val="00AC2C9B"/>
    <w:rsid w:val="00AC380C"/>
    <w:rsid w:val="00AC3A3F"/>
    <w:rsid w:val="00AC557C"/>
    <w:rsid w:val="00AC559C"/>
    <w:rsid w:val="00AC62D8"/>
    <w:rsid w:val="00AC6844"/>
    <w:rsid w:val="00AC7A30"/>
    <w:rsid w:val="00AD04F2"/>
    <w:rsid w:val="00AD30C9"/>
    <w:rsid w:val="00AD4C4A"/>
    <w:rsid w:val="00AD7B9D"/>
    <w:rsid w:val="00AE45A8"/>
    <w:rsid w:val="00AE481C"/>
    <w:rsid w:val="00AE52E6"/>
    <w:rsid w:val="00AE5B5A"/>
    <w:rsid w:val="00AF1985"/>
    <w:rsid w:val="00AF24A1"/>
    <w:rsid w:val="00AF49CA"/>
    <w:rsid w:val="00AF4F45"/>
    <w:rsid w:val="00AF63D1"/>
    <w:rsid w:val="00AF6F20"/>
    <w:rsid w:val="00AF74FF"/>
    <w:rsid w:val="00AF7928"/>
    <w:rsid w:val="00B01B70"/>
    <w:rsid w:val="00B01B87"/>
    <w:rsid w:val="00B028BF"/>
    <w:rsid w:val="00B028E8"/>
    <w:rsid w:val="00B06C88"/>
    <w:rsid w:val="00B11B80"/>
    <w:rsid w:val="00B12175"/>
    <w:rsid w:val="00B1267F"/>
    <w:rsid w:val="00B126AE"/>
    <w:rsid w:val="00B1728D"/>
    <w:rsid w:val="00B205B5"/>
    <w:rsid w:val="00B21A69"/>
    <w:rsid w:val="00B21E4A"/>
    <w:rsid w:val="00B21F1E"/>
    <w:rsid w:val="00B22E65"/>
    <w:rsid w:val="00B231F6"/>
    <w:rsid w:val="00B23C9A"/>
    <w:rsid w:val="00B2402D"/>
    <w:rsid w:val="00B242EA"/>
    <w:rsid w:val="00B25175"/>
    <w:rsid w:val="00B2558C"/>
    <w:rsid w:val="00B26F25"/>
    <w:rsid w:val="00B31299"/>
    <w:rsid w:val="00B324C1"/>
    <w:rsid w:val="00B346BD"/>
    <w:rsid w:val="00B35A92"/>
    <w:rsid w:val="00B35FD7"/>
    <w:rsid w:val="00B36833"/>
    <w:rsid w:val="00B36FC1"/>
    <w:rsid w:val="00B400E3"/>
    <w:rsid w:val="00B41239"/>
    <w:rsid w:val="00B41883"/>
    <w:rsid w:val="00B41EC8"/>
    <w:rsid w:val="00B426B8"/>
    <w:rsid w:val="00B42911"/>
    <w:rsid w:val="00B4330A"/>
    <w:rsid w:val="00B43F25"/>
    <w:rsid w:val="00B447E6"/>
    <w:rsid w:val="00B455E3"/>
    <w:rsid w:val="00B45B33"/>
    <w:rsid w:val="00B4689C"/>
    <w:rsid w:val="00B47425"/>
    <w:rsid w:val="00B51D63"/>
    <w:rsid w:val="00B53678"/>
    <w:rsid w:val="00B554B9"/>
    <w:rsid w:val="00B5684A"/>
    <w:rsid w:val="00B56DF4"/>
    <w:rsid w:val="00B605AF"/>
    <w:rsid w:val="00B639F6"/>
    <w:rsid w:val="00B66223"/>
    <w:rsid w:val="00B6760C"/>
    <w:rsid w:val="00B67D05"/>
    <w:rsid w:val="00B725A6"/>
    <w:rsid w:val="00B739E0"/>
    <w:rsid w:val="00B7609B"/>
    <w:rsid w:val="00B76B61"/>
    <w:rsid w:val="00B77290"/>
    <w:rsid w:val="00B77B4C"/>
    <w:rsid w:val="00B80B33"/>
    <w:rsid w:val="00B80CB0"/>
    <w:rsid w:val="00B834A3"/>
    <w:rsid w:val="00B84A04"/>
    <w:rsid w:val="00B876A9"/>
    <w:rsid w:val="00B902DA"/>
    <w:rsid w:val="00B91C58"/>
    <w:rsid w:val="00B9737B"/>
    <w:rsid w:val="00BA0BE3"/>
    <w:rsid w:val="00BA189B"/>
    <w:rsid w:val="00BA1F0D"/>
    <w:rsid w:val="00BA36D3"/>
    <w:rsid w:val="00BA4EA5"/>
    <w:rsid w:val="00BA4ECE"/>
    <w:rsid w:val="00BA585A"/>
    <w:rsid w:val="00BA6309"/>
    <w:rsid w:val="00BA641B"/>
    <w:rsid w:val="00BA74E0"/>
    <w:rsid w:val="00BA78C2"/>
    <w:rsid w:val="00BB2658"/>
    <w:rsid w:val="00BB28C6"/>
    <w:rsid w:val="00BB7ABF"/>
    <w:rsid w:val="00BC0403"/>
    <w:rsid w:val="00BC1121"/>
    <w:rsid w:val="00BC48E0"/>
    <w:rsid w:val="00BC524E"/>
    <w:rsid w:val="00BC53BD"/>
    <w:rsid w:val="00BC5E35"/>
    <w:rsid w:val="00BC6E0C"/>
    <w:rsid w:val="00BC75DC"/>
    <w:rsid w:val="00BD0E03"/>
    <w:rsid w:val="00BD32E9"/>
    <w:rsid w:val="00BD4BCC"/>
    <w:rsid w:val="00BD5256"/>
    <w:rsid w:val="00BD5DCB"/>
    <w:rsid w:val="00BD6268"/>
    <w:rsid w:val="00BD66CC"/>
    <w:rsid w:val="00BD7B79"/>
    <w:rsid w:val="00BE0C7F"/>
    <w:rsid w:val="00BE0D60"/>
    <w:rsid w:val="00BE1119"/>
    <w:rsid w:val="00BE157F"/>
    <w:rsid w:val="00BE30E6"/>
    <w:rsid w:val="00BE5D59"/>
    <w:rsid w:val="00BE75C0"/>
    <w:rsid w:val="00BF07BF"/>
    <w:rsid w:val="00BF2518"/>
    <w:rsid w:val="00BF2EED"/>
    <w:rsid w:val="00BF35A9"/>
    <w:rsid w:val="00BF5A2B"/>
    <w:rsid w:val="00BF671F"/>
    <w:rsid w:val="00BF7934"/>
    <w:rsid w:val="00BF79DE"/>
    <w:rsid w:val="00C040B5"/>
    <w:rsid w:val="00C0628F"/>
    <w:rsid w:val="00C076EC"/>
    <w:rsid w:val="00C07906"/>
    <w:rsid w:val="00C110B8"/>
    <w:rsid w:val="00C12187"/>
    <w:rsid w:val="00C12C0C"/>
    <w:rsid w:val="00C1305C"/>
    <w:rsid w:val="00C138C3"/>
    <w:rsid w:val="00C15848"/>
    <w:rsid w:val="00C15C83"/>
    <w:rsid w:val="00C1679F"/>
    <w:rsid w:val="00C16BFC"/>
    <w:rsid w:val="00C16ED7"/>
    <w:rsid w:val="00C17A29"/>
    <w:rsid w:val="00C206EA"/>
    <w:rsid w:val="00C208A6"/>
    <w:rsid w:val="00C210F2"/>
    <w:rsid w:val="00C211B3"/>
    <w:rsid w:val="00C231E7"/>
    <w:rsid w:val="00C2385F"/>
    <w:rsid w:val="00C238D6"/>
    <w:rsid w:val="00C23EC9"/>
    <w:rsid w:val="00C24EBD"/>
    <w:rsid w:val="00C251E9"/>
    <w:rsid w:val="00C27957"/>
    <w:rsid w:val="00C304B8"/>
    <w:rsid w:val="00C305B0"/>
    <w:rsid w:val="00C31A5B"/>
    <w:rsid w:val="00C320C2"/>
    <w:rsid w:val="00C3221D"/>
    <w:rsid w:val="00C34B82"/>
    <w:rsid w:val="00C34C10"/>
    <w:rsid w:val="00C355F3"/>
    <w:rsid w:val="00C356CE"/>
    <w:rsid w:val="00C3607E"/>
    <w:rsid w:val="00C420E6"/>
    <w:rsid w:val="00C4243B"/>
    <w:rsid w:val="00C44BB3"/>
    <w:rsid w:val="00C47C8C"/>
    <w:rsid w:val="00C5135B"/>
    <w:rsid w:val="00C51B7C"/>
    <w:rsid w:val="00C51BF4"/>
    <w:rsid w:val="00C539D8"/>
    <w:rsid w:val="00C54571"/>
    <w:rsid w:val="00C54D7C"/>
    <w:rsid w:val="00C552A0"/>
    <w:rsid w:val="00C55D51"/>
    <w:rsid w:val="00C56142"/>
    <w:rsid w:val="00C5699B"/>
    <w:rsid w:val="00C56A26"/>
    <w:rsid w:val="00C56D4F"/>
    <w:rsid w:val="00C60FAF"/>
    <w:rsid w:val="00C611C9"/>
    <w:rsid w:val="00C61AA2"/>
    <w:rsid w:val="00C624B9"/>
    <w:rsid w:val="00C6274C"/>
    <w:rsid w:val="00C62CD7"/>
    <w:rsid w:val="00C63E8A"/>
    <w:rsid w:val="00C63F96"/>
    <w:rsid w:val="00C6535D"/>
    <w:rsid w:val="00C66C6F"/>
    <w:rsid w:val="00C70B15"/>
    <w:rsid w:val="00C72249"/>
    <w:rsid w:val="00C72B11"/>
    <w:rsid w:val="00C72D60"/>
    <w:rsid w:val="00C73842"/>
    <w:rsid w:val="00C73A09"/>
    <w:rsid w:val="00C74803"/>
    <w:rsid w:val="00C7487F"/>
    <w:rsid w:val="00C7564A"/>
    <w:rsid w:val="00C75944"/>
    <w:rsid w:val="00C761F9"/>
    <w:rsid w:val="00C8036C"/>
    <w:rsid w:val="00C80EA3"/>
    <w:rsid w:val="00C81559"/>
    <w:rsid w:val="00C81A44"/>
    <w:rsid w:val="00C82CC9"/>
    <w:rsid w:val="00C831E6"/>
    <w:rsid w:val="00C85946"/>
    <w:rsid w:val="00C85C26"/>
    <w:rsid w:val="00C86A08"/>
    <w:rsid w:val="00C8783E"/>
    <w:rsid w:val="00C878DB"/>
    <w:rsid w:val="00C90D09"/>
    <w:rsid w:val="00C92B71"/>
    <w:rsid w:val="00C92D4E"/>
    <w:rsid w:val="00C93E67"/>
    <w:rsid w:val="00C9645F"/>
    <w:rsid w:val="00CA0814"/>
    <w:rsid w:val="00CA28F5"/>
    <w:rsid w:val="00CA4FA2"/>
    <w:rsid w:val="00CA518A"/>
    <w:rsid w:val="00CA63E4"/>
    <w:rsid w:val="00CA7C0B"/>
    <w:rsid w:val="00CB05E1"/>
    <w:rsid w:val="00CB0789"/>
    <w:rsid w:val="00CB1780"/>
    <w:rsid w:val="00CB2399"/>
    <w:rsid w:val="00CB2C33"/>
    <w:rsid w:val="00CB3B9D"/>
    <w:rsid w:val="00CB4FB9"/>
    <w:rsid w:val="00CB5607"/>
    <w:rsid w:val="00CB67ED"/>
    <w:rsid w:val="00CB7B75"/>
    <w:rsid w:val="00CC00D6"/>
    <w:rsid w:val="00CC2484"/>
    <w:rsid w:val="00CC286C"/>
    <w:rsid w:val="00CC325F"/>
    <w:rsid w:val="00CC464A"/>
    <w:rsid w:val="00CC50C6"/>
    <w:rsid w:val="00CC60E5"/>
    <w:rsid w:val="00CC6BBB"/>
    <w:rsid w:val="00CC7716"/>
    <w:rsid w:val="00CD15EE"/>
    <w:rsid w:val="00CD4D4C"/>
    <w:rsid w:val="00CD56A0"/>
    <w:rsid w:val="00CD7CB0"/>
    <w:rsid w:val="00CE1929"/>
    <w:rsid w:val="00CE3C7F"/>
    <w:rsid w:val="00CF07EF"/>
    <w:rsid w:val="00CF25D4"/>
    <w:rsid w:val="00CF36E2"/>
    <w:rsid w:val="00CF57FB"/>
    <w:rsid w:val="00CF5E03"/>
    <w:rsid w:val="00CF661C"/>
    <w:rsid w:val="00D00582"/>
    <w:rsid w:val="00D01283"/>
    <w:rsid w:val="00D01662"/>
    <w:rsid w:val="00D01E07"/>
    <w:rsid w:val="00D038A9"/>
    <w:rsid w:val="00D042AB"/>
    <w:rsid w:val="00D05630"/>
    <w:rsid w:val="00D0776D"/>
    <w:rsid w:val="00D11B06"/>
    <w:rsid w:val="00D11F4D"/>
    <w:rsid w:val="00D14853"/>
    <w:rsid w:val="00D14F39"/>
    <w:rsid w:val="00D156A9"/>
    <w:rsid w:val="00D15FF0"/>
    <w:rsid w:val="00D16481"/>
    <w:rsid w:val="00D178D6"/>
    <w:rsid w:val="00D17F29"/>
    <w:rsid w:val="00D208C9"/>
    <w:rsid w:val="00D20B4D"/>
    <w:rsid w:val="00D22064"/>
    <w:rsid w:val="00D22800"/>
    <w:rsid w:val="00D2433D"/>
    <w:rsid w:val="00D260F2"/>
    <w:rsid w:val="00D2748D"/>
    <w:rsid w:val="00D27805"/>
    <w:rsid w:val="00D307CF"/>
    <w:rsid w:val="00D32658"/>
    <w:rsid w:val="00D329DB"/>
    <w:rsid w:val="00D32FA7"/>
    <w:rsid w:val="00D33AA3"/>
    <w:rsid w:val="00D34D31"/>
    <w:rsid w:val="00D34F9C"/>
    <w:rsid w:val="00D36A80"/>
    <w:rsid w:val="00D36F9F"/>
    <w:rsid w:val="00D37161"/>
    <w:rsid w:val="00D40328"/>
    <w:rsid w:val="00D409D9"/>
    <w:rsid w:val="00D43853"/>
    <w:rsid w:val="00D45D86"/>
    <w:rsid w:val="00D47B43"/>
    <w:rsid w:val="00D51440"/>
    <w:rsid w:val="00D539C3"/>
    <w:rsid w:val="00D53BE9"/>
    <w:rsid w:val="00D549A7"/>
    <w:rsid w:val="00D560A0"/>
    <w:rsid w:val="00D57158"/>
    <w:rsid w:val="00D61F0B"/>
    <w:rsid w:val="00D61FA2"/>
    <w:rsid w:val="00D6251D"/>
    <w:rsid w:val="00D62FCB"/>
    <w:rsid w:val="00D6368C"/>
    <w:rsid w:val="00D639E2"/>
    <w:rsid w:val="00D643E2"/>
    <w:rsid w:val="00D658C5"/>
    <w:rsid w:val="00D66050"/>
    <w:rsid w:val="00D70D07"/>
    <w:rsid w:val="00D714A7"/>
    <w:rsid w:val="00D7399C"/>
    <w:rsid w:val="00D7528F"/>
    <w:rsid w:val="00D75871"/>
    <w:rsid w:val="00D75A83"/>
    <w:rsid w:val="00D77539"/>
    <w:rsid w:val="00D7759D"/>
    <w:rsid w:val="00D77AFC"/>
    <w:rsid w:val="00D77E91"/>
    <w:rsid w:val="00D8360D"/>
    <w:rsid w:val="00D8557A"/>
    <w:rsid w:val="00D86C04"/>
    <w:rsid w:val="00D87042"/>
    <w:rsid w:val="00D9004C"/>
    <w:rsid w:val="00D91C7E"/>
    <w:rsid w:val="00D945D6"/>
    <w:rsid w:val="00D9478B"/>
    <w:rsid w:val="00D95FA2"/>
    <w:rsid w:val="00D96F76"/>
    <w:rsid w:val="00D96FD6"/>
    <w:rsid w:val="00D97809"/>
    <w:rsid w:val="00DA057D"/>
    <w:rsid w:val="00DA15B3"/>
    <w:rsid w:val="00DA29BA"/>
    <w:rsid w:val="00DA3AB8"/>
    <w:rsid w:val="00DA599D"/>
    <w:rsid w:val="00DA62EA"/>
    <w:rsid w:val="00DA7609"/>
    <w:rsid w:val="00DA7E49"/>
    <w:rsid w:val="00DB02F9"/>
    <w:rsid w:val="00DB0350"/>
    <w:rsid w:val="00DB06D5"/>
    <w:rsid w:val="00DB1A27"/>
    <w:rsid w:val="00DB30DC"/>
    <w:rsid w:val="00DB5A5D"/>
    <w:rsid w:val="00DB6F82"/>
    <w:rsid w:val="00DC0402"/>
    <w:rsid w:val="00DC06C0"/>
    <w:rsid w:val="00DC25D7"/>
    <w:rsid w:val="00DC2E18"/>
    <w:rsid w:val="00DD07E7"/>
    <w:rsid w:val="00DD14EF"/>
    <w:rsid w:val="00DD2E1D"/>
    <w:rsid w:val="00DD2EA0"/>
    <w:rsid w:val="00DD2FF7"/>
    <w:rsid w:val="00DD3DFA"/>
    <w:rsid w:val="00DD5E30"/>
    <w:rsid w:val="00DD60F6"/>
    <w:rsid w:val="00DD79D7"/>
    <w:rsid w:val="00DE6006"/>
    <w:rsid w:val="00DE6828"/>
    <w:rsid w:val="00DF0992"/>
    <w:rsid w:val="00DF2875"/>
    <w:rsid w:val="00DF31AC"/>
    <w:rsid w:val="00DF4F1B"/>
    <w:rsid w:val="00DF502A"/>
    <w:rsid w:val="00DF6320"/>
    <w:rsid w:val="00DF79CF"/>
    <w:rsid w:val="00E0001B"/>
    <w:rsid w:val="00E009A8"/>
    <w:rsid w:val="00E01BA0"/>
    <w:rsid w:val="00E06034"/>
    <w:rsid w:val="00E1108E"/>
    <w:rsid w:val="00E13489"/>
    <w:rsid w:val="00E13BE3"/>
    <w:rsid w:val="00E1525B"/>
    <w:rsid w:val="00E15438"/>
    <w:rsid w:val="00E21B3C"/>
    <w:rsid w:val="00E230B7"/>
    <w:rsid w:val="00E249D3"/>
    <w:rsid w:val="00E258A8"/>
    <w:rsid w:val="00E30714"/>
    <w:rsid w:val="00E30A30"/>
    <w:rsid w:val="00E3229C"/>
    <w:rsid w:val="00E32346"/>
    <w:rsid w:val="00E33DC3"/>
    <w:rsid w:val="00E34085"/>
    <w:rsid w:val="00E3421F"/>
    <w:rsid w:val="00E34631"/>
    <w:rsid w:val="00E3534F"/>
    <w:rsid w:val="00E35FDF"/>
    <w:rsid w:val="00E37FE6"/>
    <w:rsid w:val="00E4036F"/>
    <w:rsid w:val="00E40730"/>
    <w:rsid w:val="00E40CB3"/>
    <w:rsid w:val="00E41921"/>
    <w:rsid w:val="00E44B5E"/>
    <w:rsid w:val="00E45236"/>
    <w:rsid w:val="00E45DC8"/>
    <w:rsid w:val="00E4640C"/>
    <w:rsid w:val="00E50303"/>
    <w:rsid w:val="00E50969"/>
    <w:rsid w:val="00E51D01"/>
    <w:rsid w:val="00E52000"/>
    <w:rsid w:val="00E53372"/>
    <w:rsid w:val="00E562D6"/>
    <w:rsid w:val="00E56B98"/>
    <w:rsid w:val="00E57E27"/>
    <w:rsid w:val="00E60783"/>
    <w:rsid w:val="00E60FC0"/>
    <w:rsid w:val="00E61EE0"/>
    <w:rsid w:val="00E654DF"/>
    <w:rsid w:val="00E66D4E"/>
    <w:rsid w:val="00E70944"/>
    <w:rsid w:val="00E7241E"/>
    <w:rsid w:val="00E7264D"/>
    <w:rsid w:val="00E72D42"/>
    <w:rsid w:val="00E73734"/>
    <w:rsid w:val="00E737AF"/>
    <w:rsid w:val="00E74E0F"/>
    <w:rsid w:val="00E758F8"/>
    <w:rsid w:val="00E75A68"/>
    <w:rsid w:val="00E804F7"/>
    <w:rsid w:val="00E83151"/>
    <w:rsid w:val="00E84FD9"/>
    <w:rsid w:val="00E8516D"/>
    <w:rsid w:val="00E9394D"/>
    <w:rsid w:val="00E93D28"/>
    <w:rsid w:val="00E94D86"/>
    <w:rsid w:val="00E9682C"/>
    <w:rsid w:val="00E97A56"/>
    <w:rsid w:val="00EA1536"/>
    <w:rsid w:val="00EA24B4"/>
    <w:rsid w:val="00EA3C16"/>
    <w:rsid w:val="00EA4014"/>
    <w:rsid w:val="00EA43EB"/>
    <w:rsid w:val="00EA5928"/>
    <w:rsid w:val="00EA5F4C"/>
    <w:rsid w:val="00EA75FA"/>
    <w:rsid w:val="00EB0F31"/>
    <w:rsid w:val="00EB3346"/>
    <w:rsid w:val="00EB394C"/>
    <w:rsid w:val="00EB72FB"/>
    <w:rsid w:val="00EC170C"/>
    <w:rsid w:val="00EC2492"/>
    <w:rsid w:val="00EC362C"/>
    <w:rsid w:val="00EC7246"/>
    <w:rsid w:val="00ED0168"/>
    <w:rsid w:val="00ED0202"/>
    <w:rsid w:val="00ED0917"/>
    <w:rsid w:val="00ED1EF2"/>
    <w:rsid w:val="00ED2055"/>
    <w:rsid w:val="00ED3990"/>
    <w:rsid w:val="00ED49BF"/>
    <w:rsid w:val="00ED5BF0"/>
    <w:rsid w:val="00ED6864"/>
    <w:rsid w:val="00EE011F"/>
    <w:rsid w:val="00EE012D"/>
    <w:rsid w:val="00EE087E"/>
    <w:rsid w:val="00EE1245"/>
    <w:rsid w:val="00EE7E4E"/>
    <w:rsid w:val="00EF0E2D"/>
    <w:rsid w:val="00EF19CF"/>
    <w:rsid w:val="00EF1C34"/>
    <w:rsid w:val="00EF242E"/>
    <w:rsid w:val="00EF5969"/>
    <w:rsid w:val="00EF5EC5"/>
    <w:rsid w:val="00EF6D04"/>
    <w:rsid w:val="00EF7295"/>
    <w:rsid w:val="00F00506"/>
    <w:rsid w:val="00F00571"/>
    <w:rsid w:val="00F04CA0"/>
    <w:rsid w:val="00F11D49"/>
    <w:rsid w:val="00F12A68"/>
    <w:rsid w:val="00F12F7D"/>
    <w:rsid w:val="00F144E4"/>
    <w:rsid w:val="00F152CE"/>
    <w:rsid w:val="00F16541"/>
    <w:rsid w:val="00F1725A"/>
    <w:rsid w:val="00F17BF6"/>
    <w:rsid w:val="00F17F9C"/>
    <w:rsid w:val="00F2079E"/>
    <w:rsid w:val="00F20807"/>
    <w:rsid w:val="00F2115F"/>
    <w:rsid w:val="00F219A8"/>
    <w:rsid w:val="00F21EB1"/>
    <w:rsid w:val="00F228FD"/>
    <w:rsid w:val="00F22C1E"/>
    <w:rsid w:val="00F23EC3"/>
    <w:rsid w:val="00F25A10"/>
    <w:rsid w:val="00F278E1"/>
    <w:rsid w:val="00F27A54"/>
    <w:rsid w:val="00F3004D"/>
    <w:rsid w:val="00F3025F"/>
    <w:rsid w:val="00F3035F"/>
    <w:rsid w:val="00F31BAC"/>
    <w:rsid w:val="00F32756"/>
    <w:rsid w:val="00F3361E"/>
    <w:rsid w:val="00F3572B"/>
    <w:rsid w:val="00F358BD"/>
    <w:rsid w:val="00F3609C"/>
    <w:rsid w:val="00F364D0"/>
    <w:rsid w:val="00F420F3"/>
    <w:rsid w:val="00F42620"/>
    <w:rsid w:val="00F42632"/>
    <w:rsid w:val="00F42EE1"/>
    <w:rsid w:val="00F43896"/>
    <w:rsid w:val="00F45078"/>
    <w:rsid w:val="00F4597B"/>
    <w:rsid w:val="00F45B7E"/>
    <w:rsid w:val="00F50E84"/>
    <w:rsid w:val="00F5107E"/>
    <w:rsid w:val="00F511AA"/>
    <w:rsid w:val="00F526DB"/>
    <w:rsid w:val="00F55B95"/>
    <w:rsid w:val="00F63CFB"/>
    <w:rsid w:val="00F65957"/>
    <w:rsid w:val="00F66134"/>
    <w:rsid w:val="00F67CC0"/>
    <w:rsid w:val="00F7153C"/>
    <w:rsid w:val="00F7492B"/>
    <w:rsid w:val="00F74B0E"/>
    <w:rsid w:val="00F80EB1"/>
    <w:rsid w:val="00F8193A"/>
    <w:rsid w:val="00F81F5C"/>
    <w:rsid w:val="00F8435F"/>
    <w:rsid w:val="00F85229"/>
    <w:rsid w:val="00F857D7"/>
    <w:rsid w:val="00F9008D"/>
    <w:rsid w:val="00F901A6"/>
    <w:rsid w:val="00F90F12"/>
    <w:rsid w:val="00F91CEE"/>
    <w:rsid w:val="00F92D33"/>
    <w:rsid w:val="00F941C6"/>
    <w:rsid w:val="00F959EE"/>
    <w:rsid w:val="00FA0F55"/>
    <w:rsid w:val="00FA117A"/>
    <w:rsid w:val="00FA53ED"/>
    <w:rsid w:val="00FA5B8A"/>
    <w:rsid w:val="00FA7376"/>
    <w:rsid w:val="00FB0D9B"/>
    <w:rsid w:val="00FB125D"/>
    <w:rsid w:val="00FB1BCC"/>
    <w:rsid w:val="00FB1CB8"/>
    <w:rsid w:val="00FB2468"/>
    <w:rsid w:val="00FB2E18"/>
    <w:rsid w:val="00FB3192"/>
    <w:rsid w:val="00FB334B"/>
    <w:rsid w:val="00FB3E1F"/>
    <w:rsid w:val="00FB4861"/>
    <w:rsid w:val="00FB52AB"/>
    <w:rsid w:val="00FB76F9"/>
    <w:rsid w:val="00FC042C"/>
    <w:rsid w:val="00FC0798"/>
    <w:rsid w:val="00FC7FC8"/>
    <w:rsid w:val="00FD16EC"/>
    <w:rsid w:val="00FD191D"/>
    <w:rsid w:val="00FD320E"/>
    <w:rsid w:val="00FD40E8"/>
    <w:rsid w:val="00FD74F5"/>
    <w:rsid w:val="00FE1D5B"/>
    <w:rsid w:val="00FE2EE2"/>
    <w:rsid w:val="00FE4B0F"/>
    <w:rsid w:val="00FE6008"/>
    <w:rsid w:val="00FF016F"/>
    <w:rsid w:val="00FF1199"/>
    <w:rsid w:val="00FF2084"/>
    <w:rsid w:val="00FF2C21"/>
    <w:rsid w:val="00FF400D"/>
    <w:rsid w:val="00FF5FA0"/>
    <w:rsid w:val="00FF6F4E"/>
    <w:rsid w:val="00FF7C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29"/>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85229"/>
    <w:pPr>
      <w:keepNext/>
      <w:jc w:val="center"/>
      <w:outlineLvl w:val="0"/>
    </w:pPr>
    <w:rPr>
      <w:rFonts w:ascii=".VnTime" w:hAnsi=".VnTime"/>
      <w:i/>
      <w:szCs w:val="24"/>
      <w:lang w:val="en-AU"/>
    </w:rPr>
  </w:style>
  <w:style w:type="paragraph" w:styleId="Heading3">
    <w:name w:val="heading 3"/>
    <w:basedOn w:val="Normal"/>
    <w:next w:val="Normal"/>
    <w:link w:val="Heading3Char"/>
    <w:uiPriority w:val="9"/>
    <w:qFormat/>
    <w:rsid w:val="00F85229"/>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85229"/>
    <w:pPr>
      <w:keepNext/>
      <w:jc w:val="center"/>
      <w:outlineLvl w:val="3"/>
    </w:pPr>
    <w:rPr>
      <w:rFonts w:ascii=".VnTimeH" w:hAnsi=".VnTimeH"/>
      <w:b/>
      <w:bCs/>
      <w:szCs w:val="24"/>
    </w:rPr>
  </w:style>
  <w:style w:type="paragraph" w:styleId="Heading5">
    <w:name w:val="heading 5"/>
    <w:basedOn w:val="Normal"/>
    <w:next w:val="Normal"/>
    <w:link w:val="Heading5Char"/>
    <w:qFormat/>
    <w:rsid w:val="00F85229"/>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85229"/>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229"/>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85229"/>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85229"/>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85229"/>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85229"/>
    <w:rPr>
      <w:rFonts w:ascii="Times New Roman" w:eastAsia="Times New Roman" w:hAnsi="Times New Roman" w:cs="Times New Roman"/>
      <w:lang w:val="en-US"/>
    </w:rPr>
  </w:style>
  <w:style w:type="paragraph" w:styleId="Header">
    <w:name w:val="header"/>
    <w:basedOn w:val="Normal"/>
    <w:link w:val="HeaderChar"/>
    <w:rsid w:val="00F85229"/>
    <w:pPr>
      <w:tabs>
        <w:tab w:val="center" w:pos="4320"/>
        <w:tab w:val="right" w:pos="8640"/>
      </w:tabs>
    </w:pPr>
  </w:style>
  <w:style w:type="character" w:customStyle="1" w:styleId="HeaderChar">
    <w:name w:val="Header Char"/>
    <w:basedOn w:val="DefaultParagraphFont"/>
    <w:link w:val="Header"/>
    <w:rsid w:val="00F85229"/>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85229"/>
    <w:pPr>
      <w:tabs>
        <w:tab w:val="center" w:pos="4320"/>
        <w:tab w:val="right" w:pos="8640"/>
      </w:tabs>
    </w:pPr>
  </w:style>
  <w:style w:type="character" w:customStyle="1" w:styleId="FooterChar">
    <w:name w:val="Footer Char"/>
    <w:basedOn w:val="DefaultParagraphFont"/>
    <w:link w:val="Footer"/>
    <w:uiPriority w:val="99"/>
    <w:rsid w:val="00F85229"/>
    <w:rPr>
      <w:rFonts w:ascii="Times New Roman" w:eastAsia="Times New Roman" w:hAnsi="Times New Roman" w:cs="Times New Roman"/>
      <w:sz w:val="28"/>
      <w:szCs w:val="28"/>
      <w:lang w:val="en-US"/>
    </w:rPr>
  </w:style>
  <w:style w:type="character" w:styleId="PageNumber">
    <w:name w:val="page number"/>
    <w:basedOn w:val="DefaultParagraphFont"/>
    <w:rsid w:val="00F85229"/>
  </w:style>
  <w:style w:type="paragraph" w:styleId="BodyTextIndent">
    <w:name w:val="Body Text Indent"/>
    <w:basedOn w:val="Normal"/>
    <w:link w:val="BodyTextIndentChar"/>
    <w:rsid w:val="00F85229"/>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85229"/>
    <w:rPr>
      <w:rFonts w:ascii=".VnTime" w:eastAsia="Times New Roman" w:hAnsi=".VnTime" w:cs="Times New Roman"/>
      <w:sz w:val="28"/>
      <w:szCs w:val="24"/>
      <w:lang w:val="en-US"/>
    </w:rPr>
  </w:style>
  <w:style w:type="paragraph" w:styleId="BodyText">
    <w:name w:val="Body Text"/>
    <w:basedOn w:val="Normal"/>
    <w:link w:val="BodyTextChar"/>
    <w:rsid w:val="00F85229"/>
    <w:pPr>
      <w:spacing w:after="120"/>
    </w:pPr>
  </w:style>
  <w:style w:type="character" w:customStyle="1" w:styleId="BodyTextChar">
    <w:name w:val="Body Text Char"/>
    <w:basedOn w:val="DefaultParagraphFont"/>
    <w:link w:val="BodyText"/>
    <w:rsid w:val="00F85229"/>
    <w:rPr>
      <w:rFonts w:ascii="Times New Roman" w:eastAsia="Times New Roman" w:hAnsi="Times New Roman" w:cs="Times New Roman"/>
      <w:sz w:val="28"/>
      <w:szCs w:val="28"/>
      <w:lang w:val="en-US"/>
    </w:rPr>
  </w:style>
  <w:style w:type="paragraph" w:customStyle="1" w:styleId="dieu">
    <w:name w:val="dieu"/>
    <w:basedOn w:val="Normal"/>
    <w:rsid w:val="00F85229"/>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85229"/>
    <w:pPr>
      <w:spacing w:after="160" w:line="240" w:lineRule="exact"/>
    </w:pPr>
    <w:rPr>
      <w:rFonts w:ascii="Verdana" w:hAnsi="Verdana" w:cs="Verdana"/>
      <w:sz w:val="20"/>
      <w:szCs w:val="20"/>
    </w:rPr>
  </w:style>
  <w:style w:type="paragraph" w:customStyle="1" w:styleId="Style1">
    <w:name w:val="Style1"/>
    <w:basedOn w:val="Normal"/>
    <w:next w:val="BodyText3"/>
    <w:rsid w:val="00F85229"/>
    <w:pPr>
      <w:jc w:val="both"/>
    </w:pPr>
    <w:rPr>
      <w:color w:val="0000FF"/>
      <w:szCs w:val="24"/>
      <w:lang w:val="nl-NL"/>
    </w:rPr>
  </w:style>
  <w:style w:type="paragraph" w:styleId="BodyText3">
    <w:name w:val="Body Text 3"/>
    <w:basedOn w:val="Normal"/>
    <w:link w:val="BodyText3Char"/>
    <w:rsid w:val="00F85229"/>
    <w:pPr>
      <w:spacing w:after="120"/>
    </w:pPr>
    <w:rPr>
      <w:sz w:val="16"/>
      <w:szCs w:val="16"/>
    </w:rPr>
  </w:style>
  <w:style w:type="character" w:customStyle="1" w:styleId="BodyText3Char">
    <w:name w:val="Body Text 3 Char"/>
    <w:basedOn w:val="DefaultParagraphFont"/>
    <w:link w:val="BodyText3"/>
    <w:rsid w:val="00F85229"/>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85229"/>
    <w:pPr>
      <w:spacing w:after="160" w:line="240" w:lineRule="exact"/>
    </w:pPr>
    <w:rPr>
      <w:rFonts w:ascii="Arial" w:hAnsi="Arial"/>
      <w:sz w:val="22"/>
      <w:szCs w:val="22"/>
    </w:rPr>
  </w:style>
  <w:style w:type="character" w:customStyle="1" w:styleId="normal-h">
    <w:name w:val="normal-h"/>
    <w:basedOn w:val="DefaultParagraphFont"/>
    <w:rsid w:val="00F85229"/>
  </w:style>
  <w:style w:type="paragraph" w:customStyle="1" w:styleId="CharCharCharChar">
    <w:name w:val="Char Char Char Char"/>
    <w:basedOn w:val="Normal"/>
    <w:rsid w:val="00F85229"/>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
    <w:basedOn w:val="Normal"/>
    <w:link w:val="FootnoteTextChar"/>
    <w:uiPriority w:val="99"/>
    <w:rsid w:val="00F85229"/>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
    <w:basedOn w:val="DefaultParagraphFont"/>
    <w:link w:val="FootnoteText"/>
    <w:uiPriority w:val="99"/>
    <w:rsid w:val="00F85229"/>
    <w:rPr>
      <w:rFonts w:ascii="Times" w:eastAsia="Times New Roman" w:hAnsi="Times" w:cs="Times New Roman"/>
      <w:color w:val="000000"/>
      <w:sz w:val="20"/>
      <w:szCs w:val="20"/>
      <w:lang w:val="en-GB" w:eastAsia="fr-FR"/>
    </w:rPr>
  </w:style>
  <w:style w:type="paragraph" w:customStyle="1" w:styleId="n-dieund">
    <w:name w:val="n-dieund"/>
    <w:basedOn w:val="Normal"/>
    <w:rsid w:val="00F85229"/>
    <w:pPr>
      <w:widowControl w:val="0"/>
      <w:autoSpaceDE w:val="0"/>
      <w:autoSpaceDN w:val="0"/>
      <w:spacing w:after="120"/>
      <w:ind w:firstLine="709"/>
      <w:jc w:val="both"/>
    </w:pPr>
    <w:rPr>
      <w:rFonts w:ascii=".VnTime" w:hAnsi=".VnTime" w:cs=".VnTime"/>
    </w:rPr>
  </w:style>
  <w:style w:type="character" w:customStyle="1" w:styleId="normal-h1">
    <w:name w:val="normal-h1"/>
    <w:rsid w:val="00F85229"/>
    <w:rPr>
      <w:rFonts w:ascii=".VnTime" w:hAnsi=".VnTime" w:hint="default"/>
      <w:color w:val="0000FF"/>
      <w:sz w:val="24"/>
      <w:szCs w:val="24"/>
    </w:rPr>
  </w:style>
  <w:style w:type="paragraph" w:customStyle="1" w:styleId="normal-p">
    <w:name w:val="normal-p"/>
    <w:basedOn w:val="Normal"/>
    <w:rsid w:val="00F85229"/>
    <w:pPr>
      <w:overflowPunct w:val="0"/>
      <w:jc w:val="both"/>
      <w:textAlignment w:val="baseline"/>
    </w:pPr>
    <w:rPr>
      <w:sz w:val="20"/>
      <w:szCs w:val="20"/>
    </w:rPr>
  </w:style>
  <w:style w:type="paragraph" w:styleId="NormalWeb">
    <w:name w:val="Normal (Web)"/>
    <w:basedOn w:val="Normal"/>
    <w:uiPriority w:val="99"/>
    <w:rsid w:val="00F85229"/>
    <w:pPr>
      <w:spacing w:before="100" w:beforeAutospacing="1" w:after="100" w:afterAutospacing="1"/>
    </w:pPr>
    <w:rPr>
      <w:sz w:val="24"/>
      <w:szCs w:val="24"/>
    </w:rPr>
  </w:style>
  <w:style w:type="character" w:customStyle="1" w:styleId="apple-converted-space">
    <w:name w:val="apple-converted-space"/>
    <w:basedOn w:val="DefaultParagraphFont"/>
    <w:rsid w:val="00F85229"/>
  </w:style>
  <w:style w:type="paragraph" w:styleId="NoSpacing">
    <w:name w:val="No Spacing"/>
    <w:uiPriority w:val="1"/>
    <w:qFormat/>
    <w:rsid w:val="00F85229"/>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85229"/>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85229"/>
    <w:pPr>
      <w:spacing w:after="120"/>
      <w:jc w:val="center"/>
    </w:pPr>
    <w:rPr>
      <w:rFonts w:ascii=".VnTime" w:hAnsi=".VnTime"/>
      <w:color w:val="0000FF"/>
      <w:sz w:val="24"/>
      <w:szCs w:val="20"/>
    </w:rPr>
  </w:style>
  <w:style w:type="paragraph" w:styleId="BodyTextIndent3">
    <w:name w:val="Body Text Indent 3"/>
    <w:basedOn w:val="Normal"/>
    <w:link w:val="BodyTextIndent3Char"/>
    <w:rsid w:val="00F85229"/>
    <w:pPr>
      <w:spacing w:after="120"/>
      <w:ind w:left="283"/>
    </w:pPr>
    <w:rPr>
      <w:sz w:val="16"/>
      <w:szCs w:val="16"/>
    </w:rPr>
  </w:style>
  <w:style w:type="character" w:customStyle="1" w:styleId="BodyTextIndent3Char">
    <w:name w:val="Body Text Indent 3 Char"/>
    <w:basedOn w:val="DefaultParagraphFont"/>
    <w:link w:val="BodyTextIndent3"/>
    <w:rsid w:val="00F85229"/>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85229"/>
    <w:pPr>
      <w:ind w:left="720"/>
      <w:contextualSpacing/>
    </w:pPr>
  </w:style>
  <w:style w:type="paragraph" w:styleId="BodyTextIndent2">
    <w:name w:val="Body Text Indent 2"/>
    <w:basedOn w:val="Normal"/>
    <w:link w:val="BodyTextIndent2Char"/>
    <w:uiPriority w:val="99"/>
    <w:rsid w:val="00F85229"/>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85229"/>
    <w:rPr>
      <w:rFonts w:ascii=".VnTime" w:eastAsia="Times New Roman" w:hAnsi=".VnTime" w:cs=".VnTime"/>
      <w:color w:val="000000"/>
      <w:sz w:val="26"/>
      <w:szCs w:val="26"/>
      <w:lang w:val="en-US"/>
    </w:rPr>
  </w:style>
  <w:style w:type="paragraph" w:styleId="Title">
    <w:name w:val="Title"/>
    <w:basedOn w:val="Normal"/>
    <w:link w:val="TitleChar"/>
    <w:uiPriority w:val="99"/>
    <w:qFormat/>
    <w:rsid w:val="00F85229"/>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85229"/>
    <w:rPr>
      <w:rFonts w:ascii=".VnTimeH" w:eastAsia="MS Mincho" w:hAnsi=".VnTimeH" w:cs="Times New Roman"/>
      <w:b/>
      <w:bCs/>
      <w:sz w:val="32"/>
      <w:szCs w:val="32"/>
      <w:lang w:val="en-US"/>
    </w:rPr>
  </w:style>
  <w:style w:type="character" w:customStyle="1" w:styleId="bodycontent1">
    <w:name w:val="bodycontent1"/>
    <w:basedOn w:val="DefaultParagraphFont"/>
    <w:rsid w:val="00F85229"/>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
    <w:basedOn w:val="DefaultParagraphFont"/>
    <w:uiPriority w:val="99"/>
    <w:unhideWhenUsed/>
    <w:qFormat/>
    <w:rsid w:val="00F85229"/>
    <w:rPr>
      <w:vertAlign w:val="superscript"/>
    </w:rPr>
  </w:style>
  <w:style w:type="character" w:customStyle="1" w:styleId="FontStyle18">
    <w:name w:val="Font Style18"/>
    <w:uiPriority w:val="99"/>
    <w:rsid w:val="00F85229"/>
    <w:rPr>
      <w:rFonts w:ascii="Times New Roman" w:hAnsi="Times New Roman" w:cs="Times New Roman"/>
      <w:color w:val="000000"/>
      <w:sz w:val="24"/>
      <w:szCs w:val="24"/>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semiHidden/>
    <w:rsid w:val="009D0F00"/>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D0F00"/>
    <w:rPr>
      <w:rFonts w:ascii="Tahoma" w:hAnsi="Tahoma" w:cs="Tahoma"/>
      <w:sz w:val="16"/>
      <w:szCs w:val="16"/>
    </w:rPr>
  </w:style>
  <w:style w:type="character" w:customStyle="1" w:styleId="BalloonTextChar">
    <w:name w:val="Balloon Text Char"/>
    <w:basedOn w:val="DefaultParagraphFont"/>
    <w:link w:val="BalloonText"/>
    <w:uiPriority w:val="99"/>
    <w:semiHidden/>
    <w:rsid w:val="009D0F00"/>
    <w:rPr>
      <w:rFonts w:ascii="Tahoma" w:eastAsia="Times New Roman" w:hAnsi="Tahoma" w:cs="Tahoma"/>
      <w:sz w:val="16"/>
      <w:szCs w:val="16"/>
      <w:lang w:val="en-US"/>
    </w:rPr>
  </w:style>
  <w:style w:type="paragraph" w:customStyle="1" w:styleId="Char0">
    <w:name w:val="Char"/>
    <w:basedOn w:val="Normal"/>
    <w:autoRedefine/>
    <w:rsid w:val="009A09C6"/>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semiHidden/>
    <w:rsid w:val="00CA0814"/>
    <w:pPr>
      <w:spacing w:after="160" w:line="240" w:lineRule="exact"/>
    </w:pPr>
    <w:rPr>
      <w:rFonts w:ascii="Arial" w:hAnsi="Arial"/>
      <w:sz w:val="22"/>
      <w:szCs w:val="22"/>
    </w:rPr>
  </w:style>
  <w:style w:type="character" w:styleId="Emphasis">
    <w:name w:val="Emphasis"/>
    <w:basedOn w:val="DefaultParagraphFont"/>
    <w:uiPriority w:val="20"/>
    <w:qFormat/>
    <w:rsid w:val="001D7DEC"/>
    <w:rPr>
      <w:i/>
      <w:iCs/>
    </w:rPr>
  </w:style>
  <w:style w:type="paragraph" w:customStyle="1" w:styleId="Timer">
    <w:name w:val="Time r"/>
    <w:basedOn w:val="Normal"/>
    <w:rsid w:val="00154F54"/>
    <w:pPr>
      <w:tabs>
        <w:tab w:val="center" w:pos="1710"/>
        <w:tab w:val="center" w:pos="6300"/>
      </w:tabs>
      <w:spacing w:after="200" w:line="276" w:lineRule="auto"/>
    </w:pPr>
    <w:rPr>
      <w:rFonts w:ascii="Calibri" w:eastAsia="Calibri" w:hAnsi="Calibri"/>
      <w:sz w:val="22"/>
      <w:szCs w:val="22"/>
    </w:rPr>
  </w:style>
  <w:style w:type="paragraph" w:customStyle="1" w:styleId="Char1">
    <w:name w:val="Char"/>
    <w:basedOn w:val="Normal"/>
    <w:semiHidden/>
    <w:rsid w:val="00D61F0B"/>
    <w:pPr>
      <w:spacing w:after="160" w:line="240" w:lineRule="exact"/>
    </w:pPr>
    <w:rPr>
      <w:rFonts w:ascii="Arial" w:hAnsi="Arial"/>
      <w:bCs/>
      <w:sz w:val="22"/>
      <w:szCs w:val="22"/>
    </w:rPr>
  </w:style>
  <w:style w:type="table" w:styleId="TableGrid">
    <w:name w:val="Table Grid"/>
    <w:basedOn w:val="TableNormal"/>
    <w:uiPriority w:val="59"/>
    <w:rsid w:val="005C5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5C74EA"/>
    <w:pPr>
      <w:tabs>
        <w:tab w:val="left" w:pos="567"/>
      </w:tabs>
      <w:spacing w:after="120" w:line="440" w:lineRule="exact"/>
    </w:pPr>
    <w:rPr>
      <w:rFonts w:ascii=".VnArialH" w:hAnsi=".VnArialH"/>
      <w:b/>
      <w:sz w:val="26"/>
      <w:szCs w:val="20"/>
      <w:lang w:val="nl-NL"/>
    </w:rPr>
  </w:style>
</w:styles>
</file>

<file path=word/webSettings.xml><?xml version="1.0" encoding="utf-8"?>
<w:webSettings xmlns:r="http://schemas.openxmlformats.org/officeDocument/2006/relationships" xmlns:w="http://schemas.openxmlformats.org/wordprocessingml/2006/main">
  <w:divs>
    <w:div w:id="303511990">
      <w:bodyDiv w:val="1"/>
      <w:marLeft w:val="23"/>
      <w:marRight w:val="23"/>
      <w:marTop w:val="0"/>
      <w:marBottom w:val="0"/>
      <w:divBdr>
        <w:top w:val="none" w:sz="0" w:space="0" w:color="auto"/>
        <w:left w:val="none" w:sz="0" w:space="0" w:color="auto"/>
        <w:bottom w:val="none" w:sz="0" w:space="0" w:color="auto"/>
        <w:right w:val="none" w:sz="0" w:space="0" w:color="auto"/>
      </w:divBdr>
      <w:divsChild>
        <w:div w:id="2114737509">
          <w:marLeft w:val="0"/>
          <w:marRight w:val="0"/>
          <w:marTop w:val="0"/>
          <w:marBottom w:val="0"/>
          <w:divBdr>
            <w:top w:val="none" w:sz="0" w:space="0" w:color="auto"/>
            <w:left w:val="none" w:sz="0" w:space="0" w:color="auto"/>
            <w:bottom w:val="none" w:sz="0" w:space="0" w:color="auto"/>
            <w:right w:val="none" w:sz="0" w:space="0" w:color="auto"/>
          </w:divBdr>
          <w:divsChild>
            <w:div w:id="188373335">
              <w:marLeft w:val="0"/>
              <w:marRight w:val="0"/>
              <w:marTop w:val="0"/>
              <w:marBottom w:val="0"/>
              <w:divBdr>
                <w:top w:val="none" w:sz="0" w:space="0" w:color="auto"/>
                <w:left w:val="none" w:sz="0" w:space="0" w:color="auto"/>
                <w:bottom w:val="none" w:sz="0" w:space="0" w:color="auto"/>
                <w:right w:val="none" w:sz="0" w:space="0" w:color="auto"/>
              </w:divBdr>
              <w:divsChild>
                <w:div w:id="1513182347">
                  <w:marLeft w:val="138"/>
                  <w:marRight w:val="0"/>
                  <w:marTop w:val="0"/>
                  <w:marBottom w:val="0"/>
                  <w:divBdr>
                    <w:top w:val="none" w:sz="0" w:space="0" w:color="auto"/>
                    <w:left w:val="none" w:sz="0" w:space="0" w:color="auto"/>
                    <w:bottom w:val="none" w:sz="0" w:space="0" w:color="auto"/>
                    <w:right w:val="none" w:sz="0" w:space="0" w:color="auto"/>
                  </w:divBdr>
                  <w:divsChild>
                    <w:div w:id="440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2500">
      <w:bodyDiv w:val="1"/>
      <w:marLeft w:val="0"/>
      <w:marRight w:val="0"/>
      <w:marTop w:val="0"/>
      <w:marBottom w:val="0"/>
      <w:divBdr>
        <w:top w:val="none" w:sz="0" w:space="0" w:color="auto"/>
        <w:left w:val="none" w:sz="0" w:space="0" w:color="auto"/>
        <w:bottom w:val="none" w:sz="0" w:space="0" w:color="auto"/>
        <w:right w:val="none" w:sz="0" w:space="0" w:color="auto"/>
      </w:divBdr>
    </w:div>
    <w:div w:id="498230055">
      <w:bodyDiv w:val="1"/>
      <w:marLeft w:val="23"/>
      <w:marRight w:val="23"/>
      <w:marTop w:val="0"/>
      <w:marBottom w:val="0"/>
      <w:divBdr>
        <w:top w:val="none" w:sz="0" w:space="0" w:color="auto"/>
        <w:left w:val="none" w:sz="0" w:space="0" w:color="auto"/>
        <w:bottom w:val="none" w:sz="0" w:space="0" w:color="auto"/>
        <w:right w:val="none" w:sz="0" w:space="0" w:color="auto"/>
      </w:divBdr>
      <w:divsChild>
        <w:div w:id="2043166125">
          <w:marLeft w:val="0"/>
          <w:marRight w:val="0"/>
          <w:marTop w:val="0"/>
          <w:marBottom w:val="0"/>
          <w:divBdr>
            <w:top w:val="none" w:sz="0" w:space="0" w:color="auto"/>
            <w:left w:val="none" w:sz="0" w:space="0" w:color="auto"/>
            <w:bottom w:val="none" w:sz="0" w:space="0" w:color="auto"/>
            <w:right w:val="none" w:sz="0" w:space="0" w:color="auto"/>
          </w:divBdr>
          <w:divsChild>
            <w:div w:id="1164082241">
              <w:marLeft w:val="0"/>
              <w:marRight w:val="0"/>
              <w:marTop w:val="0"/>
              <w:marBottom w:val="0"/>
              <w:divBdr>
                <w:top w:val="none" w:sz="0" w:space="0" w:color="auto"/>
                <w:left w:val="none" w:sz="0" w:space="0" w:color="auto"/>
                <w:bottom w:val="none" w:sz="0" w:space="0" w:color="auto"/>
                <w:right w:val="none" w:sz="0" w:space="0" w:color="auto"/>
              </w:divBdr>
              <w:divsChild>
                <w:div w:id="2063287269">
                  <w:marLeft w:val="138"/>
                  <w:marRight w:val="0"/>
                  <w:marTop w:val="0"/>
                  <w:marBottom w:val="0"/>
                  <w:divBdr>
                    <w:top w:val="none" w:sz="0" w:space="0" w:color="auto"/>
                    <w:left w:val="none" w:sz="0" w:space="0" w:color="auto"/>
                    <w:bottom w:val="none" w:sz="0" w:space="0" w:color="auto"/>
                    <w:right w:val="none" w:sz="0" w:space="0" w:color="auto"/>
                  </w:divBdr>
                  <w:divsChild>
                    <w:div w:id="3471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39086">
      <w:bodyDiv w:val="1"/>
      <w:marLeft w:val="0"/>
      <w:marRight w:val="0"/>
      <w:marTop w:val="0"/>
      <w:marBottom w:val="0"/>
      <w:divBdr>
        <w:top w:val="none" w:sz="0" w:space="0" w:color="auto"/>
        <w:left w:val="none" w:sz="0" w:space="0" w:color="auto"/>
        <w:bottom w:val="none" w:sz="0" w:space="0" w:color="auto"/>
        <w:right w:val="none" w:sz="0" w:space="0" w:color="auto"/>
      </w:divBdr>
    </w:div>
    <w:div w:id="768307811">
      <w:bodyDiv w:val="1"/>
      <w:marLeft w:val="23"/>
      <w:marRight w:val="23"/>
      <w:marTop w:val="0"/>
      <w:marBottom w:val="0"/>
      <w:divBdr>
        <w:top w:val="none" w:sz="0" w:space="0" w:color="auto"/>
        <w:left w:val="none" w:sz="0" w:space="0" w:color="auto"/>
        <w:bottom w:val="none" w:sz="0" w:space="0" w:color="auto"/>
        <w:right w:val="none" w:sz="0" w:space="0" w:color="auto"/>
      </w:divBdr>
      <w:divsChild>
        <w:div w:id="2031638922">
          <w:marLeft w:val="0"/>
          <w:marRight w:val="0"/>
          <w:marTop w:val="0"/>
          <w:marBottom w:val="0"/>
          <w:divBdr>
            <w:top w:val="none" w:sz="0" w:space="0" w:color="auto"/>
            <w:left w:val="none" w:sz="0" w:space="0" w:color="auto"/>
            <w:bottom w:val="none" w:sz="0" w:space="0" w:color="auto"/>
            <w:right w:val="none" w:sz="0" w:space="0" w:color="auto"/>
          </w:divBdr>
          <w:divsChild>
            <w:div w:id="706415643">
              <w:marLeft w:val="0"/>
              <w:marRight w:val="0"/>
              <w:marTop w:val="0"/>
              <w:marBottom w:val="0"/>
              <w:divBdr>
                <w:top w:val="none" w:sz="0" w:space="0" w:color="auto"/>
                <w:left w:val="none" w:sz="0" w:space="0" w:color="auto"/>
                <w:bottom w:val="none" w:sz="0" w:space="0" w:color="auto"/>
                <w:right w:val="none" w:sz="0" w:space="0" w:color="auto"/>
              </w:divBdr>
              <w:divsChild>
                <w:div w:id="941494898">
                  <w:marLeft w:val="138"/>
                  <w:marRight w:val="0"/>
                  <w:marTop w:val="0"/>
                  <w:marBottom w:val="0"/>
                  <w:divBdr>
                    <w:top w:val="none" w:sz="0" w:space="0" w:color="auto"/>
                    <w:left w:val="none" w:sz="0" w:space="0" w:color="auto"/>
                    <w:bottom w:val="none" w:sz="0" w:space="0" w:color="auto"/>
                    <w:right w:val="none" w:sz="0" w:space="0" w:color="auto"/>
                  </w:divBdr>
                  <w:divsChild>
                    <w:div w:id="21383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7420">
      <w:bodyDiv w:val="1"/>
      <w:marLeft w:val="0"/>
      <w:marRight w:val="0"/>
      <w:marTop w:val="0"/>
      <w:marBottom w:val="0"/>
      <w:divBdr>
        <w:top w:val="none" w:sz="0" w:space="0" w:color="auto"/>
        <w:left w:val="none" w:sz="0" w:space="0" w:color="auto"/>
        <w:bottom w:val="none" w:sz="0" w:space="0" w:color="auto"/>
        <w:right w:val="none" w:sz="0" w:space="0" w:color="auto"/>
      </w:divBdr>
    </w:div>
    <w:div w:id="1023479126">
      <w:bodyDiv w:val="1"/>
      <w:marLeft w:val="0"/>
      <w:marRight w:val="0"/>
      <w:marTop w:val="0"/>
      <w:marBottom w:val="0"/>
      <w:divBdr>
        <w:top w:val="none" w:sz="0" w:space="0" w:color="auto"/>
        <w:left w:val="none" w:sz="0" w:space="0" w:color="auto"/>
        <w:bottom w:val="none" w:sz="0" w:space="0" w:color="auto"/>
        <w:right w:val="none" w:sz="0" w:space="0" w:color="auto"/>
      </w:divBdr>
    </w:div>
    <w:div w:id="1076896573">
      <w:bodyDiv w:val="1"/>
      <w:marLeft w:val="25"/>
      <w:marRight w:val="25"/>
      <w:marTop w:val="0"/>
      <w:marBottom w:val="0"/>
      <w:divBdr>
        <w:top w:val="none" w:sz="0" w:space="0" w:color="auto"/>
        <w:left w:val="none" w:sz="0" w:space="0" w:color="auto"/>
        <w:bottom w:val="none" w:sz="0" w:space="0" w:color="auto"/>
        <w:right w:val="none" w:sz="0" w:space="0" w:color="auto"/>
      </w:divBdr>
      <w:divsChild>
        <w:div w:id="72045565">
          <w:marLeft w:val="0"/>
          <w:marRight w:val="0"/>
          <w:marTop w:val="0"/>
          <w:marBottom w:val="0"/>
          <w:divBdr>
            <w:top w:val="none" w:sz="0" w:space="0" w:color="auto"/>
            <w:left w:val="none" w:sz="0" w:space="0" w:color="auto"/>
            <w:bottom w:val="none" w:sz="0" w:space="0" w:color="auto"/>
            <w:right w:val="none" w:sz="0" w:space="0" w:color="auto"/>
          </w:divBdr>
          <w:divsChild>
            <w:div w:id="1359938487">
              <w:marLeft w:val="0"/>
              <w:marRight w:val="0"/>
              <w:marTop w:val="0"/>
              <w:marBottom w:val="0"/>
              <w:divBdr>
                <w:top w:val="none" w:sz="0" w:space="0" w:color="auto"/>
                <w:left w:val="none" w:sz="0" w:space="0" w:color="auto"/>
                <w:bottom w:val="none" w:sz="0" w:space="0" w:color="auto"/>
                <w:right w:val="none" w:sz="0" w:space="0" w:color="auto"/>
              </w:divBdr>
              <w:divsChild>
                <w:div w:id="1263999216">
                  <w:marLeft w:val="150"/>
                  <w:marRight w:val="0"/>
                  <w:marTop w:val="0"/>
                  <w:marBottom w:val="0"/>
                  <w:divBdr>
                    <w:top w:val="none" w:sz="0" w:space="0" w:color="auto"/>
                    <w:left w:val="none" w:sz="0" w:space="0" w:color="auto"/>
                    <w:bottom w:val="none" w:sz="0" w:space="0" w:color="auto"/>
                    <w:right w:val="none" w:sz="0" w:space="0" w:color="auto"/>
                  </w:divBdr>
                  <w:divsChild>
                    <w:div w:id="11882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3715">
      <w:bodyDiv w:val="1"/>
      <w:marLeft w:val="23"/>
      <w:marRight w:val="23"/>
      <w:marTop w:val="0"/>
      <w:marBottom w:val="0"/>
      <w:divBdr>
        <w:top w:val="none" w:sz="0" w:space="0" w:color="auto"/>
        <w:left w:val="none" w:sz="0" w:space="0" w:color="auto"/>
        <w:bottom w:val="none" w:sz="0" w:space="0" w:color="auto"/>
        <w:right w:val="none" w:sz="0" w:space="0" w:color="auto"/>
      </w:divBdr>
      <w:divsChild>
        <w:div w:id="39324338">
          <w:marLeft w:val="0"/>
          <w:marRight w:val="0"/>
          <w:marTop w:val="0"/>
          <w:marBottom w:val="0"/>
          <w:divBdr>
            <w:top w:val="none" w:sz="0" w:space="0" w:color="auto"/>
            <w:left w:val="none" w:sz="0" w:space="0" w:color="auto"/>
            <w:bottom w:val="none" w:sz="0" w:space="0" w:color="auto"/>
            <w:right w:val="none" w:sz="0" w:space="0" w:color="auto"/>
          </w:divBdr>
          <w:divsChild>
            <w:div w:id="674267122">
              <w:marLeft w:val="0"/>
              <w:marRight w:val="0"/>
              <w:marTop w:val="0"/>
              <w:marBottom w:val="0"/>
              <w:divBdr>
                <w:top w:val="none" w:sz="0" w:space="0" w:color="auto"/>
                <w:left w:val="none" w:sz="0" w:space="0" w:color="auto"/>
                <w:bottom w:val="none" w:sz="0" w:space="0" w:color="auto"/>
                <w:right w:val="none" w:sz="0" w:space="0" w:color="auto"/>
              </w:divBdr>
              <w:divsChild>
                <w:div w:id="1625306140">
                  <w:marLeft w:val="138"/>
                  <w:marRight w:val="0"/>
                  <w:marTop w:val="0"/>
                  <w:marBottom w:val="0"/>
                  <w:divBdr>
                    <w:top w:val="none" w:sz="0" w:space="0" w:color="auto"/>
                    <w:left w:val="none" w:sz="0" w:space="0" w:color="auto"/>
                    <w:bottom w:val="none" w:sz="0" w:space="0" w:color="auto"/>
                    <w:right w:val="none" w:sz="0" w:space="0" w:color="auto"/>
                  </w:divBdr>
                  <w:divsChild>
                    <w:div w:id="19131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2FCD-09F6-458D-96A9-1E74A78E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7132</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hoaixuanlt</cp:lastModifiedBy>
  <cp:revision>2</cp:revision>
  <cp:lastPrinted>2017-05-26T05:30:00Z</cp:lastPrinted>
  <dcterms:created xsi:type="dcterms:W3CDTF">2017-05-31T04:00:00Z</dcterms:created>
  <dcterms:modified xsi:type="dcterms:W3CDTF">2017-05-31T04:00:00Z</dcterms:modified>
</cp:coreProperties>
</file>